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CB" w:rsidRPr="0035718D" w:rsidRDefault="00656FCB" w:rsidP="00656FCB">
      <w:pPr>
        <w:spacing w:after="0" w:line="240" w:lineRule="auto"/>
        <w:jc w:val="center"/>
        <w:rPr>
          <w:b/>
        </w:rPr>
      </w:pPr>
      <w:r>
        <w:rPr>
          <w:b/>
        </w:rPr>
        <w:t>Результаты а</w:t>
      </w:r>
      <w:r w:rsidRPr="0035718D">
        <w:rPr>
          <w:b/>
        </w:rPr>
        <w:t>нкет</w:t>
      </w:r>
      <w:r>
        <w:rPr>
          <w:b/>
        </w:rPr>
        <w:t>ирования</w:t>
      </w:r>
    </w:p>
    <w:p w:rsidR="00656FCB" w:rsidRPr="0035718D" w:rsidRDefault="00656FCB" w:rsidP="00656FCB">
      <w:pPr>
        <w:spacing w:after="0" w:line="240" w:lineRule="auto"/>
        <w:jc w:val="center"/>
        <w:rPr>
          <w:b/>
        </w:rPr>
      </w:pPr>
      <w:r w:rsidRPr="0035718D">
        <w:rPr>
          <w:b/>
        </w:rPr>
        <w:t>изучения удовлетворенности потребителей качеством муниципальных услуг</w:t>
      </w:r>
      <w:r>
        <w:rPr>
          <w:b/>
        </w:rPr>
        <w:t xml:space="preserve">, проведенного в МБУДО «ЧДХШИ» в </w:t>
      </w:r>
      <w:r w:rsidR="003D1045">
        <w:rPr>
          <w:b/>
        </w:rPr>
        <w:t>апреле</w:t>
      </w:r>
      <w:r>
        <w:rPr>
          <w:b/>
        </w:rPr>
        <w:t xml:space="preserve"> 202</w:t>
      </w:r>
      <w:r w:rsidR="003D1045">
        <w:rPr>
          <w:b/>
        </w:rPr>
        <w:t>3</w:t>
      </w:r>
      <w:r>
        <w:rPr>
          <w:b/>
        </w:rPr>
        <w:t xml:space="preserve"> года</w:t>
      </w:r>
    </w:p>
    <w:p w:rsidR="00656FCB" w:rsidRPr="0035718D" w:rsidRDefault="00656FCB" w:rsidP="00656FCB">
      <w:pPr>
        <w:spacing w:after="0" w:line="240" w:lineRule="auto"/>
        <w:jc w:val="center"/>
        <w:rPr>
          <w:b/>
        </w:rPr>
      </w:pPr>
    </w:p>
    <w:p w:rsidR="00656FCB" w:rsidRDefault="00DB169A" w:rsidP="00DB169A">
      <w:pPr>
        <w:spacing w:after="0"/>
        <w:ind w:firstLine="567"/>
        <w:jc w:val="both"/>
      </w:pPr>
      <w:r>
        <w:t xml:space="preserve">В </w:t>
      </w:r>
      <w:r w:rsidR="003D1045">
        <w:t>апреле</w:t>
      </w:r>
      <w:r>
        <w:t xml:space="preserve"> 202</w:t>
      </w:r>
      <w:r w:rsidR="003D1045">
        <w:t>3</w:t>
      </w:r>
      <w:r>
        <w:t xml:space="preserve"> года администрацией МБУДО «ЧДХШИ» было организовано анкетирование родителей во всех классах художественной школы в целях изучения удовлетворенностью потребителей качеством образовательных услуг. В анкетирование приняло участие 2</w:t>
      </w:r>
      <w:r w:rsidR="003D1045">
        <w:t>65</w:t>
      </w:r>
      <w:r>
        <w:t xml:space="preserve"> респондента (родители и законные представители обучающихся). Результаты анкетирования представлены в таблице. </w:t>
      </w:r>
    </w:p>
    <w:p w:rsidR="00DB169A" w:rsidRDefault="00DB169A" w:rsidP="00656FCB">
      <w:pPr>
        <w:spacing w:after="0"/>
        <w:jc w:val="both"/>
      </w:pPr>
    </w:p>
    <w:tbl>
      <w:tblPr>
        <w:tblStyle w:val="a3"/>
        <w:tblW w:w="9747" w:type="dxa"/>
        <w:tblLayout w:type="fixed"/>
        <w:tblLook w:val="04A0"/>
      </w:tblPr>
      <w:tblGrid>
        <w:gridCol w:w="2802"/>
        <w:gridCol w:w="1134"/>
        <w:gridCol w:w="850"/>
        <w:gridCol w:w="992"/>
        <w:gridCol w:w="851"/>
        <w:gridCol w:w="1276"/>
        <w:gridCol w:w="850"/>
        <w:gridCol w:w="992"/>
      </w:tblGrid>
      <w:tr w:rsidR="00EF5970" w:rsidTr="00EF5970">
        <w:tc>
          <w:tcPr>
            <w:tcW w:w="2802" w:type="dxa"/>
          </w:tcPr>
          <w:p w:rsidR="00656FCB" w:rsidRDefault="00656FCB" w:rsidP="00656FCB">
            <w:pPr>
              <w:jc w:val="both"/>
            </w:pPr>
            <w:r>
              <w:t>Критерии оценки</w:t>
            </w:r>
          </w:p>
        </w:tc>
        <w:tc>
          <w:tcPr>
            <w:tcW w:w="1134" w:type="dxa"/>
          </w:tcPr>
          <w:p w:rsidR="00656FCB" w:rsidRDefault="00656FCB" w:rsidP="00B67054">
            <w:pPr>
              <w:jc w:val="center"/>
            </w:pPr>
            <w:r>
              <w:t>Очень хорошо</w:t>
            </w:r>
          </w:p>
        </w:tc>
        <w:tc>
          <w:tcPr>
            <w:tcW w:w="850" w:type="dxa"/>
          </w:tcPr>
          <w:p w:rsidR="00656FCB" w:rsidRDefault="00656FCB" w:rsidP="00B67054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656FCB" w:rsidRDefault="00656FCB" w:rsidP="00B67054">
            <w:pPr>
              <w:jc w:val="center"/>
            </w:pPr>
            <w:r>
              <w:t>Хорошо</w:t>
            </w:r>
          </w:p>
        </w:tc>
        <w:tc>
          <w:tcPr>
            <w:tcW w:w="851" w:type="dxa"/>
          </w:tcPr>
          <w:p w:rsidR="00656FCB" w:rsidRDefault="00656FCB" w:rsidP="00B67054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656FCB" w:rsidRDefault="00656FCB" w:rsidP="00B67054">
            <w:pPr>
              <w:jc w:val="center"/>
            </w:pPr>
            <w:r>
              <w:t>Удовлетворительно</w:t>
            </w:r>
          </w:p>
        </w:tc>
        <w:tc>
          <w:tcPr>
            <w:tcW w:w="850" w:type="dxa"/>
          </w:tcPr>
          <w:p w:rsidR="00656FCB" w:rsidRDefault="00656FCB" w:rsidP="00B67054">
            <w:pPr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656FCB" w:rsidRDefault="00656FCB" w:rsidP="00B67054">
            <w:pPr>
              <w:jc w:val="center"/>
            </w:pPr>
            <w:r>
              <w:t>Плохо</w:t>
            </w:r>
          </w:p>
        </w:tc>
      </w:tr>
      <w:tr w:rsidR="00EF5970" w:rsidTr="00EF5970">
        <w:tc>
          <w:tcPr>
            <w:tcW w:w="2802" w:type="dxa"/>
          </w:tcPr>
          <w:p w:rsidR="00DB169A" w:rsidRDefault="00DB169A" w:rsidP="00665145">
            <w:r>
              <w:t>Комфортность помещения, предоставляемого для оказания услуги</w:t>
            </w:r>
          </w:p>
        </w:tc>
        <w:tc>
          <w:tcPr>
            <w:tcW w:w="1134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196</w:t>
            </w:r>
          </w:p>
        </w:tc>
        <w:tc>
          <w:tcPr>
            <w:tcW w:w="850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73,96</w:t>
            </w:r>
          </w:p>
        </w:tc>
        <w:tc>
          <w:tcPr>
            <w:tcW w:w="992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20,38</w:t>
            </w:r>
          </w:p>
        </w:tc>
        <w:tc>
          <w:tcPr>
            <w:tcW w:w="1276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5,66</w:t>
            </w:r>
          </w:p>
        </w:tc>
        <w:tc>
          <w:tcPr>
            <w:tcW w:w="992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</w:tr>
      <w:tr w:rsidR="00EF5970" w:rsidTr="00EF5970">
        <w:tc>
          <w:tcPr>
            <w:tcW w:w="2802" w:type="dxa"/>
          </w:tcPr>
          <w:p w:rsidR="00EF5970" w:rsidRDefault="00EF5970" w:rsidP="00665145">
            <w:r>
              <w:t>Доступность и  понятность информации о порядке оказания услуги</w:t>
            </w:r>
          </w:p>
        </w:tc>
        <w:tc>
          <w:tcPr>
            <w:tcW w:w="1134" w:type="dxa"/>
            <w:vAlign w:val="center"/>
          </w:tcPr>
          <w:p w:rsidR="00EF5970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215</w:t>
            </w:r>
          </w:p>
        </w:tc>
        <w:tc>
          <w:tcPr>
            <w:tcW w:w="850" w:type="dxa"/>
            <w:vAlign w:val="center"/>
          </w:tcPr>
          <w:p w:rsidR="00EF5970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81,13</w:t>
            </w:r>
          </w:p>
        </w:tc>
        <w:tc>
          <w:tcPr>
            <w:tcW w:w="992" w:type="dxa"/>
            <w:vAlign w:val="center"/>
          </w:tcPr>
          <w:p w:rsidR="00EF5970" w:rsidRPr="003D1045" w:rsidRDefault="003D1045" w:rsidP="00D6119E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EF5970" w:rsidRPr="003D1045" w:rsidRDefault="003D1045" w:rsidP="00D6119E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18,87</w:t>
            </w:r>
          </w:p>
        </w:tc>
        <w:tc>
          <w:tcPr>
            <w:tcW w:w="1276" w:type="dxa"/>
            <w:vAlign w:val="center"/>
          </w:tcPr>
          <w:p w:rsidR="00EF5970" w:rsidRPr="003D1045" w:rsidRDefault="00EF5970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EF5970" w:rsidRPr="003D1045" w:rsidRDefault="00EF5970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нет</w:t>
            </w:r>
          </w:p>
        </w:tc>
        <w:tc>
          <w:tcPr>
            <w:tcW w:w="992" w:type="dxa"/>
            <w:vAlign w:val="center"/>
          </w:tcPr>
          <w:p w:rsidR="00EF5970" w:rsidRPr="003D1045" w:rsidRDefault="00EF5970" w:rsidP="00B67054">
            <w:pPr>
              <w:jc w:val="center"/>
            </w:pPr>
            <w:r w:rsidRPr="003D1045">
              <w:t>нет</w:t>
            </w:r>
          </w:p>
        </w:tc>
      </w:tr>
      <w:tr w:rsidR="00EF5970" w:rsidTr="00EF5970">
        <w:tc>
          <w:tcPr>
            <w:tcW w:w="2802" w:type="dxa"/>
          </w:tcPr>
          <w:p w:rsidR="00DB169A" w:rsidRDefault="00DB169A" w:rsidP="00665145">
            <w:r>
              <w:t>Внимательность, вежливость, тактичность персонала</w:t>
            </w:r>
          </w:p>
        </w:tc>
        <w:tc>
          <w:tcPr>
            <w:tcW w:w="1134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228</w:t>
            </w:r>
          </w:p>
        </w:tc>
        <w:tc>
          <w:tcPr>
            <w:tcW w:w="850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86,04</w:t>
            </w:r>
          </w:p>
        </w:tc>
        <w:tc>
          <w:tcPr>
            <w:tcW w:w="992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13,96</w:t>
            </w:r>
          </w:p>
        </w:tc>
        <w:tc>
          <w:tcPr>
            <w:tcW w:w="1276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  <w:tc>
          <w:tcPr>
            <w:tcW w:w="850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  <w:tc>
          <w:tcPr>
            <w:tcW w:w="992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</w:tr>
      <w:tr w:rsidR="00EF5970" w:rsidTr="00EF5970">
        <w:tc>
          <w:tcPr>
            <w:tcW w:w="2802" w:type="dxa"/>
          </w:tcPr>
          <w:p w:rsidR="00DB169A" w:rsidRDefault="00DB169A" w:rsidP="00665145">
            <w:r>
              <w:t>Компетентность персонала</w:t>
            </w:r>
          </w:p>
        </w:tc>
        <w:tc>
          <w:tcPr>
            <w:tcW w:w="1134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222</w:t>
            </w:r>
          </w:p>
        </w:tc>
        <w:tc>
          <w:tcPr>
            <w:tcW w:w="850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83,77</w:t>
            </w:r>
          </w:p>
        </w:tc>
        <w:tc>
          <w:tcPr>
            <w:tcW w:w="992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16,23</w:t>
            </w:r>
          </w:p>
        </w:tc>
        <w:tc>
          <w:tcPr>
            <w:tcW w:w="1276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  <w:tc>
          <w:tcPr>
            <w:tcW w:w="850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  <w:tc>
          <w:tcPr>
            <w:tcW w:w="992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</w:tr>
      <w:tr w:rsidR="00EF5970" w:rsidTr="00EF5970">
        <w:tc>
          <w:tcPr>
            <w:tcW w:w="2802" w:type="dxa"/>
          </w:tcPr>
          <w:p w:rsidR="00DB169A" w:rsidRDefault="00DB169A" w:rsidP="00665145">
            <w:r>
              <w:t>График работы с посетителями</w:t>
            </w:r>
          </w:p>
        </w:tc>
        <w:tc>
          <w:tcPr>
            <w:tcW w:w="1134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19</w:t>
            </w:r>
            <w:r w:rsidR="006E0C2A"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DB169A" w:rsidRPr="003D1045" w:rsidRDefault="006E0C2A" w:rsidP="006E0C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</w:t>
            </w:r>
            <w:r w:rsidR="003D1045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72</w:t>
            </w:r>
          </w:p>
        </w:tc>
        <w:tc>
          <w:tcPr>
            <w:tcW w:w="992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25,2</w:t>
            </w:r>
            <w:r w:rsidR="006E0C2A">
              <w:rPr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B169A" w:rsidRPr="003D1045" w:rsidRDefault="003C6E4A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нет</w:t>
            </w:r>
          </w:p>
        </w:tc>
        <w:tc>
          <w:tcPr>
            <w:tcW w:w="850" w:type="dxa"/>
            <w:vAlign w:val="center"/>
          </w:tcPr>
          <w:p w:rsidR="00DB169A" w:rsidRPr="003D1045" w:rsidRDefault="003C6E4A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нет</w:t>
            </w:r>
          </w:p>
        </w:tc>
        <w:tc>
          <w:tcPr>
            <w:tcW w:w="992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</w:tr>
      <w:tr w:rsidR="00EF5970" w:rsidTr="00EF5970">
        <w:tc>
          <w:tcPr>
            <w:tcW w:w="2802" w:type="dxa"/>
          </w:tcPr>
          <w:p w:rsidR="00DB169A" w:rsidRDefault="00DB169A" w:rsidP="00665145">
            <w:r>
              <w:t>Оценка результата полученной услуги</w:t>
            </w:r>
          </w:p>
        </w:tc>
        <w:tc>
          <w:tcPr>
            <w:tcW w:w="1134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221</w:t>
            </w:r>
          </w:p>
        </w:tc>
        <w:tc>
          <w:tcPr>
            <w:tcW w:w="850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83,40</w:t>
            </w:r>
          </w:p>
        </w:tc>
        <w:tc>
          <w:tcPr>
            <w:tcW w:w="992" w:type="dxa"/>
            <w:vAlign w:val="center"/>
          </w:tcPr>
          <w:p w:rsidR="00DB169A" w:rsidRPr="003D1045" w:rsidRDefault="003D1045" w:rsidP="00B67054">
            <w:pPr>
              <w:jc w:val="center"/>
              <w:rPr>
                <w:bCs/>
                <w:color w:val="000000"/>
                <w:sz w:val="22"/>
              </w:rPr>
            </w:pPr>
            <w:r w:rsidRPr="003D1045">
              <w:rPr>
                <w:bCs/>
                <w:color w:val="000000"/>
                <w:sz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DB169A" w:rsidRPr="003D1045" w:rsidRDefault="003D1045" w:rsidP="00B67054">
            <w:pPr>
              <w:jc w:val="center"/>
              <w:rPr>
                <w:color w:val="000000"/>
                <w:sz w:val="22"/>
              </w:rPr>
            </w:pPr>
            <w:r w:rsidRPr="003D1045">
              <w:rPr>
                <w:color w:val="000000"/>
                <w:sz w:val="22"/>
              </w:rPr>
              <w:t>16,6</w:t>
            </w:r>
            <w:r w:rsidR="006E0C2A">
              <w:rPr>
                <w:color w:val="000000"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  <w:tc>
          <w:tcPr>
            <w:tcW w:w="850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  <w:tc>
          <w:tcPr>
            <w:tcW w:w="992" w:type="dxa"/>
            <w:vAlign w:val="center"/>
          </w:tcPr>
          <w:p w:rsidR="00DB169A" w:rsidRPr="003D1045" w:rsidRDefault="00DB169A" w:rsidP="00B67054">
            <w:pPr>
              <w:jc w:val="center"/>
            </w:pPr>
            <w:r w:rsidRPr="003D1045">
              <w:t>нет</w:t>
            </w:r>
          </w:p>
        </w:tc>
      </w:tr>
    </w:tbl>
    <w:p w:rsidR="00B67054" w:rsidRDefault="00B67054" w:rsidP="00012BA0">
      <w:pPr>
        <w:spacing w:after="0"/>
        <w:ind w:firstLine="567"/>
        <w:jc w:val="both"/>
      </w:pPr>
    </w:p>
    <w:p w:rsidR="00012BA0" w:rsidRPr="003D1045" w:rsidRDefault="00DB169A" w:rsidP="00012BA0">
      <w:pPr>
        <w:spacing w:after="0"/>
        <w:ind w:firstLine="567"/>
        <w:jc w:val="both"/>
      </w:pPr>
      <w:r w:rsidRPr="003D1045">
        <w:t xml:space="preserve">Анализ результатов анкетирования позволяет судить, что </w:t>
      </w:r>
      <w:r w:rsidR="00012BA0" w:rsidRPr="003D1045">
        <w:t>наиболее высокие оценки школа получила по следующим критериям:</w:t>
      </w:r>
    </w:p>
    <w:p w:rsidR="00DB169A" w:rsidRPr="003D1045" w:rsidRDefault="00012BA0" w:rsidP="00012BA0">
      <w:pPr>
        <w:spacing w:after="0"/>
        <w:ind w:firstLine="567"/>
        <w:jc w:val="both"/>
      </w:pPr>
      <w:r w:rsidRPr="003D1045">
        <w:t xml:space="preserve"> - внимательность, вежливость и тактичность персонала</w:t>
      </w:r>
    </w:p>
    <w:p w:rsidR="00012BA0" w:rsidRPr="003D1045" w:rsidRDefault="00012BA0" w:rsidP="00012BA0">
      <w:pPr>
        <w:spacing w:after="0"/>
        <w:ind w:firstLine="567"/>
        <w:jc w:val="both"/>
      </w:pPr>
      <w:r w:rsidRPr="003D1045">
        <w:t>- компетентность персонала</w:t>
      </w:r>
    </w:p>
    <w:p w:rsidR="00012BA0" w:rsidRPr="003D1045" w:rsidRDefault="00012BA0" w:rsidP="00012BA0">
      <w:pPr>
        <w:spacing w:after="0"/>
        <w:ind w:firstLine="567"/>
        <w:jc w:val="both"/>
      </w:pPr>
      <w:r w:rsidRPr="003D1045">
        <w:t>- оценка результата полученной услуги.</w:t>
      </w:r>
    </w:p>
    <w:p w:rsidR="00012BA0" w:rsidRPr="006E0C2A" w:rsidRDefault="00012BA0" w:rsidP="00012BA0">
      <w:pPr>
        <w:spacing w:after="0"/>
        <w:ind w:firstLine="567"/>
        <w:jc w:val="both"/>
      </w:pPr>
      <w:r w:rsidRPr="006E0C2A">
        <w:t>Вышеперечисленные критерии позволяют оценить уровень профессиональной компетентности педагогов и персонала школы. По данным критериям нет удовлетворительных оценок. Большинство респондентов оценили работу школы по данным критериям на оценку «очень хорошо». Таким образом</w:t>
      </w:r>
      <w:r w:rsidR="00571BCA" w:rsidRPr="006E0C2A">
        <w:t>,</w:t>
      </w:r>
      <w:r w:rsidRPr="006E0C2A">
        <w:t xml:space="preserve"> </w:t>
      </w:r>
      <w:r w:rsidR="00571BCA" w:rsidRPr="006E0C2A">
        <w:t>м</w:t>
      </w:r>
      <w:r w:rsidRPr="006E0C2A">
        <w:t xml:space="preserve">ожно утверждать, что родители высоко оценивают уровень профессиональной компетентности </w:t>
      </w:r>
      <w:r w:rsidR="00571BCA" w:rsidRPr="006E0C2A">
        <w:t xml:space="preserve">педагогического состава и административного персонала школы. Наиболее высоко респондентами были оценены </w:t>
      </w:r>
      <w:r w:rsidR="003B573D" w:rsidRPr="006E0C2A">
        <w:t>внимательность, вежливость, тактичность персонала</w:t>
      </w:r>
      <w:r w:rsidR="00571BCA" w:rsidRPr="006E0C2A">
        <w:t xml:space="preserve">, что говорит о </w:t>
      </w:r>
      <w:r w:rsidR="003B573D" w:rsidRPr="006E0C2A">
        <w:t>компетентности работающего в учреждении персонала</w:t>
      </w:r>
      <w:r w:rsidR="00C4653F" w:rsidRPr="006E0C2A">
        <w:t xml:space="preserve"> (</w:t>
      </w:r>
      <w:r w:rsidR="003B573D" w:rsidRPr="006E0C2A">
        <w:rPr>
          <w:color w:val="000000"/>
          <w:sz w:val="22"/>
        </w:rPr>
        <w:t>86,</w:t>
      </w:r>
      <w:r w:rsidR="006E0C2A" w:rsidRPr="006E0C2A">
        <w:rPr>
          <w:color w:val="000000"/>
          <w:sz w:val="22"/>
        </w:rPr>
        <w:t>04</w:t>
      </w:r>
      <w:r w:rsidR="00C4653F" w:rsidRPr="006E0C2A">
        <w:t xml:space="preserve">%  -«очень хорошо» и </w:t>
      </w:r>
      <w:r w:rsidR="003B573D" w:rsidRPr="006E0C2A">
        <w:rPr>
          <w:color w:val="000000"/>
          <w:sz w:val="22"/>
        </w:rPr>
        <w:t>13,</w:t>
      </w:r>
      <w:r w:rsidR="006E0C2A" w:rsidRPr="006E0C2A">
        <w:rPr>
          <w:color w:val="000000"/>
          <w:sz w:val="22"/>
        </w:rPr>
        <w:t>96</w:t>
      </w:r>
      <w:r w:rsidR="00571BCA" w:rsidRPr="006E0C2A">
        <w:t xml:space="preserve">% </w:t>
      </w:r>
      <w:r w:rsidR="009648A1" w:rsidRPr="006E0C2A">
        <w:t>- «хорошо»)</w:t>
      </w:r>
      <w:r w:rsidR="00571BCA" w:rsidRPr="006E0C2A">
        <w:t>.</w:t>
      </w:r>
      <w:r w:rsidR="006E0C2A">
        <w:t xml:space="preserve"> </w:t>
      </w:r>
    </w:p>
    <w:p w:rsidR="009648A1" w:rsidRPr="006E0C2A" w:rsidRDefault="009648A1" w:rsidP="00012BA0">
      <w:pPr>
        <w:spacing w:after="0"/>
        <w:ind w:firstLine="567"/>
        <w:jc w:val="both"/>
      </w:pPr>
      <w:r w:rsidRPr="006E0C2A">
        <w:t>К сожалению, по критери</w:t>
      </w:r>
      <w:r w:rsidR="003C6E4A" w:rsidRPr="006E0C2A">
        <w:t>ю</w:t>
      </w:r>
      <w:r w:rsidRPr="006E0C2A">
        <w:t xml:space="preserve"> </w:t>
      </w:r>
      <w:r w:rsidR="003C6E4A" w:rsidRPr="006E0C2A">
        <w:t xml:space="preserve">«Комфортность помещения, предоставляемого для оказания услуги» </w:t>
      </w:r>
      <w:r w:rsidRPr="006E0C2A">
        <w:t xml:space="preserve">были даны </w:t>
      </w:r>
      <w:r w:rsidR="006E0C2A" w:rsidRPr="006E0C2A">
        <w:t>15</w:t>
      </w:r>
      <w:r w:rsidR="003C6E4A" w:rsidRPr="006E0C2A">
        <w:t xml:space="preserve"> </w:t>
      </w:r>
      <w:r w:rsidRPr="006E0C2A">
        <w:t>удовлетворительны</w:t>
      </w:r>
      <w:r w:rsidR="003B573D" w:rsidRPr="006E0C2A">
        <w:t>х</w:t>
      </w:r>
      <w:r w:rsidRPr="006E0C2A">
        <w:t xml:space="preserve"> оцен</w:t>
      </w:r>
      <w:r w:rsidR="003B573D" w:rsidRPr="006E0C2A">
        <w:t>о</w:t>
      </w:r>
      <w:r w:rsidRPr="006E0C2A">
        <w:t>к</w:t>
      </w:r>
      <w:r w:rsidR="003C6E4A" w:rsidRPr="006E0C2A">
        <w:t xml:space="preserve">. Данный </w:t>
      </w:r>
      <w:r w:rsidRPr="006E0C2A">
        <w:t>критери</w:t>
      </w:r>
      <w:r w:rsidR="003C6E4A" w:rsidRPr="006E0C2A">
        <w:t>й</w:t>
      </w:r>
      <w:r w:rsidRPr="006E0C2A">
        <w:t xml:space="preserve"> позволя</w:t>
      </w:r>
      <w:r w:rsidR="003C6E4A" w:rsidRPr="006E0C2A">
        <w:t>е</w:t>
      </w:r>
      <w:r w:rsidRPr="006E0C2A">
        <w:t xml:space="preserve">т оценить </w:t>
      </w:r>
      <w:r w:rsidR="003C6E4A" w:rsidRPr="006E0C2A">
        <w:t>условия</w:t>
      </w:r>
      <w:r w:rsidRPr="006E0C2A">
        <w:t xml:space="preserve"> оказания услу</w:t>
      </w:r>
      <w:r w:rsidR="003C6E4A" w:rsidRPr="006E0C2A">
        <w:t>г</w:t>
      </w:r>
      <w:r w:rsidRPr="006E0C2A">
        <w:t xml:space="preserve">. Анализ </w:t>
      </w:r>
      <w:r w:rsidR="00D128F7" w:rsidRPr="006E0C2A">
        <w:t xml:space="preserve">показывает, что замечания по комфортности относятся в большей степени к филиалу школы, расположенного в Северо-западном </w:t>
      </w:r>
      <w:r w:rsidR="00D128F7" w:rsidRPr="006E0C2A">
        <w:lastRenderedPageBreak/>
        <w:t xml:space="preserve">районе г. Чебоксары. Там наблюдается некоторая стесненность в аудиториях из-за недостаточного объема учебных помещений. Однако необходимо отметить, что лишь небольшой процент респондентов оценили удовлетворительно школу поданному критерию (всего </w:t>
      </w:r>
      <w:r w:rsidR="006E0C2A">
        <w:t>5,66</w:t>
      </w:r>
      <w:r w:rsidR="00D128F7" w:rsidRPr="006E0C2A">
        <w:t>% от общего числа респондентов)</w:t>
      </w:r>
      <w:r w:rsidR="00BB7430" w:rsidRPr="006E0C2A">
        <w:t xml:space="preserve">. </w:t>
      </w:r>
      <w:r w:rsidR="003C6E4A" w:rsidRPr="006E0C2A">
        <w:t>По остальным критериям, определяющим условия оказания услуг (оценка инфраструктуры образовательного процесса), даны положительные оценки.</w:t>
      </w:r>
    </w:p>
    <w:p w:rsidR="00656FCB" w:rsidRPr="006E0C2A" w:rsidRDefault="0022601A" w:rsidP="0022601A">
      <w:pPr>
        <w:spacing w:after="0"/>
        <w:ind w:firstLine="567"/>
        <w:jc w:val="both"/>
      </w:pPr>
      <w:r w:rsidRPr="006E0C2A">
        <w:t xml:space="preserve">В рамках </w:t>
      </w:r>
      <w:proofErr w:type="spellStart"/>
      <w:r w:rsidRPr="006E0C2A">
        <w:t>антикоррупционной</w:t>
      </w:r>
      <w:proofErr w:type="spellEnd"/>
      <w:r w:rsidRPr="006E0C2A">
        <w:t xml:space="preserve"> деятельности был задан вопрос о том, что в</w:t>
      </w:r>
      <w:r w:rsidR="00656FCB" w:rsidRPr="006E0C2A">
        <w:t>зималась ли дополнительная плата, кроме той, что установлена законодательством</w:t>
      </w:r>
      <w:r w:rsidRPr="006E0C2A">
        <w:t xml:space="preserve">. Все респонденты ответили «нет», что соответствует 100% от их общего числа. </w:t>
      </w:r>
      <w:r w:rsidR="00413742" w:rsidRPr="006E0C2A">
        <w:t>Следовательно</w:t>
      </w:r>
      <w:r w:rsidRPr="006E0C2A">
        <w:t xml:space="preserve">, в школе не </w:t>
      </w:r>
      <w:r w:rsidR="003B573D" w:rsidRPr="006E0C2A">
        <w:t>взимаются</w:t>
      </w:r>
      <w:r w:rsidRPr="006E0C2A">
        <w:t xml:space="preserve"> дополнительные денежные средства с родителей (законных представителей).</w:t>
      </w:r>
    </w:p>
    <w:p w:rsidR="00A80915" w:rsidRDefault="00A80915" w:rsidP="00A80915">
      <w:pPr>
        <w:spacing w:after="0"/>
        <w:ind w:firstLine="567"/>
        <w:jc w:val="both"/>
      </w:pPr>
      <w:r w:rsidRPr="003D1045">
        <w:t>Таким образом, анкетирование позволило определить точки роста образовательной организации. Оно позволило выявить степень удовлетворенности</w:t>
      </w:r>
      <w:r w:rsidR="00413742" w:rsidRPr="003D1045">
        <w:t xml:space="preserve"> потребителей качеством образовательных услуг.</w:t>
      </w:r>
      <w:r w:rsidR="00413742">
        <w:t xml:space="preserve"> </w:t>
      </w:r>
    </w:p>
    <w:p w:rsidR="0022601A" w:rsidRDefault="0022601A" w:rsidP="0022601A">
      <w:pPr>
        <w:spacing w:after="0"/>
        <w:ind w:firstLine="567"/>
        <w:jc w:val="both"/>
      </w:pPr>
    </w:p>
    <w:p w:rsidR="00656FCB" w:rsidRDefault="00656FCB" w:rsidP="00656FCB">
      <w:pPr>
        <w:jc w:val="both"/>
      </w:pPr>
    </w:p>
    <w:sectPr w:rsidR="00656FCB" w:rsidSect="00FA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savePreviewPicture/>
  <w:compat/>
  <w:rsids>
    <w:rsidRoot w:val="00656FCB"/>
    <w:rsid w:val="00012BA0"/>
    <w:rsid w:val="0022601A"/>
    <w:rsid w:val="002A503B"/>
    <w:rsid w:val="0035718D"/>
    <w:rsid w:val="003B573D"/>
    <w:rsid w:val="003C6E4A"/>
    <w:rsid w:val="003D1045"/>
    <w:rsid w:val="003F4B8B"/>
    <w:rsid w:val="00413742"/>
    <w:rsid w:val="00571BCA"/>
    <w:rsid w:val="00656FCB"/>
    <w:rsid w:val="00665145"/>
    <w:rsid w:val="006E0C2A"/>
    <w:rsid w:val="009648A1"/>
    <w:rsid w:val="00A50A42"/>
    <w:rsid w:val="00A80915"/>
    <w:rsid w:val="00B67054"/>
    <w:rsid w:val="00BB7430"/>
    <w:rsid w:val="00C4653F"/>
    <w:rsid w:val="00CF0BA8"/>
    <w:rsid w:val="00D128F7"/>
    <w:rsid w:val="00D6119E"/>
    <w:rsid w:val="00DB169A"/>
    <w:rsid w:val="00DE52DE"/>
    <w:rsid w:val="00E354E2"/>
    <w:rsid w:val="00EF5970"/>
    <w:rsid w:val="00FA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B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C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5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2676</Characters>
  <Application>Microsoft Office Word</Application>
  <DocSecurity>0</DocSecurity>
  <Lines>22</Lines>
  <Paragraphs>6</Paragraphs>
  <ScaleCrop>false</ScaleCrop>
  <Company>Krokoz™ Inc.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</cp:lastModifiedBy>
  <cp:revision>4</cp:revision>
  <cp:lastPrinted>2020-05-26T14:24:00Z</cp:lastPrinted>
  <dcterms:created xsi:type="dcterms:W3CDTF">2022-05-16T08:29:00Z</dcterms:created>
  <dcterms:modified xsi:type="dcterms:W3CDTF">2023-04-18T07:35:00Z</dcterms:modified>
</cp:coreProperties>
</file>