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ook w:val="04A0" w:firstRow="1" w:lastRow="0" w:firstColumn="1" w:lastColumn="0" w:noHBand="0" w:noVBand="1"/>
      </w:tblPr>
      <w:tblGrid>
        <w:gridCol w:w="4195"/>
        <w:gridCol w:w="1173"/>
        <w:gridCol w:w="4202"/>
      </w:tblGrid>
      <w:tr w:rsidR="009060B9" w:rsidRPr="009060B9" w:rsidTr="009060B9">
        <w:trPr>
          <w:cantSplit/>
          <w:trHeight w:val="253"/>
        </w:trPr>
        <w:tc>
          <w:tcPr>
            <w:tcW w:w="4195" w:type="dxa"/>
            <w:hideMark/>
          </w:tcPr>
          <w:p w:rsidR="009060B9" w:rsidRPr="009060B9" w:rsidRDefault="009060B9" w:rsidP="009060B9">
            <w:pPr>
              <w:spacing w:after="0" w:line="240" w:lineRule="auto"/>
              <w:jc w:val="center"/>
              <w:rPr>
                <w:rFonts w:ascii="Times New Roman" w:eastAsia="Calibri" w:hAnsi="Times New Roman" w:cs="Times New Roman"/>
                <w:b/>
                <w:bCs/>
                <w:noProof/>
                <w:color w:val="000000"/>
                <w:szCs w:val="48"/>
              </w:rPr>
            </w:pPr>
            <w:r w:rsidRPr="009060B9">
              <w:rPr>
                <w:rFonts w:ascii="Times New Roman" w:eastAsia="Calibri" w:hAnsi="Times New Roman" w:cs="Times New Roman"/>
                <w:b/>
                <w:bCs/>
                <w:noProof/>
                <w:color w:val="000000"/>
                <w:szCs w:val="48"/>
              </w:rPr>
              <w:t>ЧĂВАШ  РЕСПУБЛИКИ</w:t>
            </w:r>
          </w:p>
        </w:tc>
        <w:tc>
          <w:tcPr>
            <w:tcW w:w="1173" w:type="dxa"/>
            <w:vMerge w:val="restart"/>
            <w:hideMark/>
          </w:tcPr>
          <w:p w:rsidR="009060B9" w:rsidRPr="009060B9" w:rsidRDefault="009060B9" w:rsidP="009060B9">
            <w:pPr>
              <w:spacing w:after="0" w:line="240" w:lineRule="auto"/>
              <w:jc w:val="center"/>
              <w:rPr>
                <w:rFonts w:ascii="Times New Roman" w:eastAsia="Times New Roman" w:hAnsi="Times New Roman" w:cs="Times New Roman"/>
                <w:sz w:val="26"/>
                <w:szCs w:val="24"/>
              </w:rPr>
            </w:pPr>
            <w:r w:rsidRPr="009060B9">
              <w:rPr>
                <w:rFonts w:ascii="TimesET" w:eastAsia="Calibri" w:hAnsi="TimesET" w:cs="Times New Roman"/>
                <w:noProof/>
                <w:sz w:val="48"/>
                <w:szCs w:val="48"/>
                <w:lang w:eastAsia="ru-RU"/>
              </w:rPr>
              <w:drawing>
                <wp:anchor distT="0" distB="0" distL="114300" distR="114300" simplePos="0" relativeHeight="251659264" behindDoc="1" locked="0" layoutInCell="1" allowOverlap="1" wp14:anchorId="495261FB" wp14:editId="7B193130">
                  <wp:simplePos x="0" y="0"/>
                  <wp:positionH relativeFrom="column">
                    <wp:posOffset>20320</wp:posOffset>
                  </wp:positionH>
                  <wp:positionV relativeFrom="paragraph">
                    <wp:posOffset>20320</wp:posOffset>
                  </wp:positionV>
                  <wp:extent cx="564515" cy="712470"/>
                  <wp:effectExtent l="0" t="0" r="6985" b="0"/>
                  <wp:wrapNone/>
                  <wp:docPr id="5" name="Рисунок 5" descr="герб ч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герб чб"/>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64515" cy="712470"/>
                          </a:xfrm>
                          <a:prstGeom prst="rect">
                            <a:avLst/>
                          </a:prstGeom>
                          <a:noFill/>
                        </pic:spPr>
                      </pic:pic>
                    </a:graphicData>
                  </a:graphic>
                  <wp14:sizeRelH relativeFrom="page">
                    <wp14:pctWidth>0</wp14:pctWidth>
                  </wp14:sizeRelH>
                  <wp14:sizeRelV relativeFrom="page">
                    <wp14:pctHeight>0</wp14:pctHeight>
                  </wp14:sizeRelV>
                </wp:anchor>
              </w:drawing>
            </w:r>
          </w:p>
        </w:tc>
        <w:tc>
          <w:tcPr>
            <w:tcW w:w="4202" w:type="dxa"/>
            <w:hideMark/>
          </w:tcPr>
          <w:p w:rsidR="009060B9" w:rsidRPr="009060B9" w:rsidRDefault="009060B9" w:rsidP="009060B9">
            <w:pPr>
              <w:autoSpaceDE w:val="0"/>
              <w:autoSpaceDN w:val="0"/>
              <w:adjustRightInd w:val="0"/>
              <w:spacing w:after="0"/>
              <w:jc w:val="center"/>
              <w:rPr>
                <w:rFonts w:ascii="Times New Roman" w:eastAsia="Times New Roman" w:hAnsi="Times New Roman" w:cs="Times New Roman"/>
                <w:b/>
                <w:bCs/>
                <w:noProof/>
                <w:szCs w:val="20"/>
              </w:rPr>
            </w:pPr>
            <w:r w:rsidRPr="009060B9">
              <w:rPr>
                <w:rFonts w:ascii="Times New Roman" w:eastAsia="Times New Roman" w:hAnsi="Times New Roman" w:cs="Times New Roman"/>
                <w:b/>
                <w:bCs/>
                <w:noProof/>
                <w:szCs w:val="20"/>
              </w:rPr>
              <w:t>ЧУВАШСКАЯ РЕСПУБЛИКА</w:t>
            </w:r>
          </w:p>
        </w:tc>
      </w:tr>
      <w:tr w:rsidR="009060B9" w:rsidRPr="009060B9" w:rsidTr="009060B9">
        <w:trPr>
          <w:cantSplit/>
          <w:trHeight w:val="1617"/>
        </w:trPr>
        <w:tc>
          <w:tcPr>
            <w:tcW w:w="4195" w:type="dxa"/>
          </w:tcPr>
          <w:p w:rsidR="009060B9" w:rsidRPr="009060B9" w:rsidRDefault="009060B9" w:rsidP="009060B9">
            <w:pPr>
              <w:tabs>
                <w:tab w:val="left" w:pos="4285"/>
              </w:tabs>
              <w:autoSpaceDE w:val="0"/>
              <w:autoSpaceDN w:val="0"/>
              <w:adjustRightInd w:val="0"/>
              <w:spacing w:after="0"/>
              <w:jc w:val="center"/>
              <w:rPr>
                <w:rFonts w:ascii="Times New Roman" w:eastAsia="Times New Roman" w:hAnsi="Times New Roman" w:cs="Times New Roman"/>
                <w:b/>
                <w:bCs/>
                <w:noProof/>
                <w:color w:val="000000"/>
                <w:szCs w:val="20"/>
              </w:rPr>
            </w:pPr>
            <w:r w:rsidRPr="009060B9">
              <w:rPr>
                <w:rFonts w:ascii="Times New Roman" w:eastAsia="Times New Roman" w:hAnsi="Times New Roman" w:cs="Times New Roman"/>
                <w:b/>
                <w:bCs/>
                <w:noProof/>
                <w:color w:val="000000"/>
                <w:szCs w:val="20"/>
              </w:rPr>
              <w:t>ÇĚМĚРЛЕ МУНИЦИПАЛЛĂ</w:t>
            </w:r>
          </w:p>
          <w:p w:rsidR="009060B9" w:rsidRPr="009060B9" w:rsidRDefault="009060B9" w:rsidP="009060B9">
            <w:pPr>
              <w:tabs>
                <w:tab w:val="left" w:pos="4285"/>
              </w:tabs>
              <w:autoSpaceDE w:val="0"/>
              <w:autoSpaceDN w:val="0"/>
              <w:adjustRightInd w:val="0"/>
              <w:spacing w:after="0"/>
              <w:jc w:val="center"/>
              <w:rPr>
                <w:rFonts w:ascii="Times New Roman" w:eastAsia="Times New Roman" w:hAnsi="Times New Roman" w:cs="Times New Roman"/>
                <w:b/>
                <w:bCs/>
                <w:noProof/>
                <w:color w:val="000000"/>
                <w:szCs w:val="20"/>
              </w:rPr>
            </w:pPr>
            <w:r w:rsidRPr="009060B9">
              <w:rPr>
                <w:rFonts w:ascii="Times New Roman" w:eastAsia="Times New Roman" w:hAnsi="Times New Roman" w:cs="Times New Roman"/>
                <w:b/>
                <w:bCs/>
                <w:noProof/>
                <w:color w:val="000000"/>
                <w:szCs w:val="20"/>
              </w:rPr>
              <w:t xml:space="preserve">ОКРУГĔН </w:t>
            </w:r>
          </w:p>
          <w:p w:rsidR="009060B9" w:rsidRPr="009060B9" w:rsidRDefault="009060B9" w:rsidP="009060B9">
            <w:pPr>
              <w:tabs>
                <w:tab w:val="left" w:pos="4285"/>
              </w:tabs>
              <w:autoSpaceDE w:val="0"/>
              <w:autoSpaceDN w:val="0"/>
              <w:adjustRightInd w:val="0"/>
              <w:spacing w:after="0"/>
              <w:jc w:val="center"/>
              <w:rPr>
                <w:rFonts w:ascii="Courier New" w:eastAsia="Times New Roman" w:hAnsi="Courier New" w:cs="Courier New"/>
                <w:b/>
                <w:bCs/>
                <w:color w:val="000000"/>
                <w:sz w:val="26"/>
                <w:szCs w:val="20"/>
                <w:lang w:eastAsia="ru-RU"/>
              </w:rPr>
            </w:pPr>
            <w:r w:rsidRPr="009060B9">
              <w:rPr>
                <w:rFonts w:ascii="Times New Roman" w:eastAsia="Times New Roman" w:hAnsi="Times New Roman" w:cs="Times New Roman"/>
                <w:b/>
                <w:bCs/>
                <w:noProof/>
                <w:color w:val="000000"/>
                <w:szCs w:val="20"/>
              </w:rPr>
              <w:t>АДМИНИСТРАЦИЙĚ</w:t>
            </w:r>
          </w:p>
          <w:p w:rsidR="009060B9" w:rsidRPr="009060B9" w:rsidRDefault="009060B9" w:rsidP="009060B9">
            <w:pPr>
              <w:spacing w:after="0" w:line="240" w:lineRule="auto"/>
              <w:jc w:val="center"/>
              <w:rPr>
                <w:rFonts w:ascii="TimesET" w:eastAsia="Times New Roman" w:hAnsi="TimesET" w:cs="Times New Roman"/>
                <w:sz w:val="24"/>
                <w:szCs w:val="24"/>
                <w:lang w:eastAsia="ru-RU"/>
              </w:rPr>
            </w:pPr>
          </w:p>
          <w:p w:rsidR="009060B9" w:rsidRPr="009060B9" w:rsidRDefault="009060B9" w:rsidP="009060B9">
            <w:pPr>
              <w:spacing w:after="0" w:line="240" w:lineRule="auto"/>
              <w:jc w:val="center"/>
              <w:rPr>
                <w:rFonts w:ascii="Times New Roman" w:eastAsia="Times New Roman" w:hAnsi="Times New Roman" w:cs="Times New Roman"/>
                <w:b/>
                <w:sz w:val="24"/>
                <w:szCs w:val="24"/>
                <w:lang w:eastAsia="ru-RU"/>
              </w:rPr>
            </w:pPr>
            <w:r w:rsidRPr="009060B9">
              <w:rPr>
                <w:rFonts w:ascii="Times New Roman" w:eastAsia="Times New Roman" w:hAnsi="Times New Roman" w:cs="Times New Roman"/>
                <w:b/>
                <w:sz w:val="24"/>
                <w:szCs w:val="24"/>
                <w:lang w:eastAsia="ru-RU"/>
              </w:rPr>
              <w:t>ЙЫШ</w:t>
            </w:r>
            <w:r w:rsidRPr="009060B9">
              <w:rPr>
                <w:rFonts w:ascii="Times New Roman" w:eastAsia="Calibri" w:hAnsi="Times New Roman" w:cs="Times New Roman"/>
                <w:b/>
                <w:bCs/>
                <w:noProof/>
                <w:color w:val="000000"/>
                <w:sz w:val="24"/>
                <w:szCs w:val="24"/>
              </w:rPr>
              <w:t>Ă</w:t>
            </w:r>
            <w:r w:rsidRPr="009060B9">
              <w:rPr>
                <w:rFonts w:ascii="Times New Roman" w:eastAsia="Times New Roman" w:hAnsi="Times New Roman" w:cs="Times New Roman"/>
                <w:b/>
                <w:sz w:val="24"/>
                <w:szCs w:val="24"/>
                <w:lang w:eastAsia="ru-RU"/>
              </w:rPr>
              <w:t>НУ</w:t>
            </w:r>
          </w:p>
          <w:p w:rsidR="009060B9" w:rsidRPr="009060B9" w:rsidRDefault="009060B9" w:rsidP="009060B9">
            <w:pPr>
              <w:spacing w:after="0" w:line="240" w:lineRule="auto"/>
              <w:jc w:val="center"/>
              <w:rPr>
                <w:rFonts w:ascii="Times New Roman" w:eastAsia="Times New Roman" w:hAnsi="Times New Roman" w:cs="Times New Roman"/>
                <w:sz w:val="24"/>
                <w:szCs w:val="24"/>
                <w:lang w:eastAsia="ru-RU"/>
              </w:rPr>
            </w:pPr>
            <w:r w:rsidRPr="009060B9">
              <w:rPr>
                <w:rFonts w:ascii="Times New Roman" w:eastAsia="Times New Roman" w:hAnsi="Times New Roman" w:cs="Times New Roman"/>
                <w:sz w:val="24"/>
                <w:szCs w:val="24"/>
                <w:lang w:eastAsia="ru-RU"/>
              </w:rPr>
              <w:t xml:space="preserve"> </w:t>
            </w:r>
          </w:p>
          <w:p w:rsidR="009060B9" w:rsidRPr="009060B9" w:rsidRDefault="00637E8C" w:rsidP="009060B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01.11.2024 1020</w:t>
            </w:r>
            <w:r w:rsidR="009060B9" w:rsidRPr="009060B9">
              <w:rPr>
                <w:rFonts w:ascii="Times New Roman" w:eastAsia="Times New Roman" w:hAnsi="Times New Roman" w:cs="Times New Roman"/>
                <w:sz w:val="24"/>
                <w:szCs w:val="24"/>
                <w:lang w:eastAsia="ru-RU"/>
              </w:rPr>
              <w:t xml:space="preserve"> № </w:t>
            </w:r>
          </w:p>
          <w:p w:rsidR="009060B9" w:rsidRPr="009060B9" w:rsidRDefault="009060B9" w:rsidP="009060B9">
            <w:pPr>
              <w:spacing w:after="0" w:line="240" w:lineRule="auto"/>
              <w:jc w:val="center"/>
              <w:rPr>
                <w:rFonts w:ascii="Times New Roman" w:eastAsia="Times New Roman" w:hAnsi="Times New Roman" w:cs="Times New Roman"/>
                <w:sz w:val="24"/>
                <w:szCs w:val="24"/>
                <w:lang w:eastAsia="ru-RU"/>
              </w:rPr>
            </w:pPr>
            <w:r w:rsidRPr="009060B9">
              <w:rPr>
                <w:rFonts w:ascii="Times New Roman" w:eastAsia="Times New Roman" w:hAnsi="Times New Roman" w:cs="Times New Roman"/>
                <w:bCs/>
                <w:sz w:val="24"/>
                <w:szCs w:val="24"/>
                <w:lang w:eastAsia="ru-RU"/>
              </w:rPr>
              <w:t>Çě</w:t>
            </w:r>
            <w:proofErr w:type="gramStart"/>
            <w:r w:rsidRPr="009060B9">
              <w:rPr>
                <w:rFonts w:ascii="Times New Roman" w:eastAsia="Times New Roman" w:hAnsi="Times New Roman" w:cs="Times New Roman"/>
                <w:bCs/>
                <w:sz w:val="24"/>
                <w:szCs w:val="24"/>
                <w:lang w:eastAsia="ru-RU"/>
              </w:rPr>
              <w:t>м</w:t>
            </w:r>
            <w:proofErr w:type="gramEnd"/>
            <w:r w:rsidRPr="009060B9">
              <w:rPr>
                <w:rFonts w:ascii="Times New Roman" w:eastAsia="Times New Roman" w:hAnsi="Times New Roman" w:cs="Times New Roman"/>
                <w:bCs/>
                <w:sz w:val="24"/>
                <w:szCs w:val="24"/>
                <w:lang w:eastAsia="ru-RU"/>
              </w:rPr>
              <w:t>ěрле</w:t>
            </w:r>
            <w:r w:rsidRPr="009060B9">
              <w:rPr>
                <w:rFonts w:ascii="Times New Roman" w:eastAsia="Times New Roman" w:hAnsi="Times New Roman" w:cs="Times New Roman"/>
                <w:sz w:val="24"/>
                <w:szCs w:val="24"/>
                <w:lang w:eastAsia="ru-RU"/>
              </w:rPr>
              <w:t xml:space="preserve"> хули</w:t>
            </w:r>
          </w:p>
          <w:p w:rsidR="009060B9" w:rsidRPr="009060B9" w:rsidRDefault="009060B9" w:rsidP="009060B9">
            <w:pPr>
              <w:spacing w:after="0" w:line="240" w:lineRule="auto"/>
              <w:jc w:val="center"/>
              <w:rPr>
                <w:rFonts w:ascii="Times New Roman" w:eastAsia="Times New Roman" w:hAnsi="Times New Roman" w:cs="Times New Roman"/>
                <w:noProof/>
                <w:color w:val="000000"/>
                <w:sz w:val="26"/>
                <w:szCs w:val="24"/>
              </w:rPr>
            </w:pPr>
          </w:p>
        </w:tc>
        <w:tc>
          <w:tcPr>
            <w:tcW w:w="0" w:type="auto"/>
            <w:vMerge/>
            <w:vAlign w:val="center"/>
            <w:hideMark/>
          </w:tcPr>
          <w:p w:rsidR="009060B9" w:rsidRPr="009060B9" w:rsidRDefault="009060B9" w:rsidP="009060B9">
            <w:pPr>
              <w:spacing w:after="0" w:line="240" w:lineRule="auto"/>
              <w:rPr>
                <w:rFonts w:ascii="Times New Roman" w:eastAsia="Times New Roman" w:hAnsi="Times New Roman" w:cs="Times New Roman"/>
                <w:sz w:val="26"/>
                <w:szCs w:val="24"/>
              </w:rPr>
            </w:pPr>
          </w:p>
        </w:tc>
        <w:tc>
          <w:tcPr>
            <w:tcW w:w="4202" w:type="dxa"/>
          </w:tcPr>
          <w:p w:rsidR="009060B9" w:rsidRPr="009060B9" w:rsidRDefault="009060B9" w:rsidP="009060B9">
            <w:pPr>
              <w:autoSpaceDE w:val="0"/>
              <w:autoSpaceDN w:val="0"/>
              <w:adjustRightInd w:val="0"/>
              <w:spacing w:after="0"/>
              <w:jc w:val="center"/>
              <w:rPr>
                <w:rFonts w:ascii="Times New Roman" w:eastAsia="Times New Roman" w:hAnsi="Times New Roman" w:cs="Times New Roman"/>
                <w:b/>
                <w:bCs/>
                <w:noProof/>
                <w:color w:val="000000"/>
                <w:szCs w:val="20"/>
              </w:rPr>
            </w:pPr>
            <w:r w:rsidRPr="009060B9">
              <w:rPr>
                <w:rFonts w:ascii="Times New Roman" w:eastAsia="Times New Roman" w:hAnsi="Times New Roman" w:cs="Times New Roman"/>
                <w:b/>
                <w:bCs/>
                <w:noProof/>
                <w:color w:val="000000"/>
                <w:szCs w:val="20"/>
              </w:rPr>
              <w:t>АДМИНИСТРАЦИЯ</w:t>
            </w:r>
          </w:p>
          <w:p w:rsidR="009060B9" w:rsidRPr="009060B9" w:rsidRDefault="009060B9" w:rsidP="009060B9">
            <w:pPr>
              <w:autoSpaceDE w:val="0"/>
              <w:autoSpaceDN w:val="0"/>
              <w:adjustRightInd w:val="0"/>
              <w:spacing w:after="0"/>
              <w:jc w:val="center"/>
              <w:rPr>
                <w:rFonts w:ascii="Times New Roman" w:eastAsia="Times New Roman" w:hAnsi="Times New Roman" w:cs="Times New Roman"/>
                <w:noProof/>
                <w:color w:val="000000"/>
                <w:sz w:val="26"/>
                <w:szCs w:val="20"/>
              </w:rPr>
            </w:pPr>
            <w:r w:rsidRPr="009060B9">
              <w:rPr>
                <w:rFonts w:ascii="Times New Roman" w:eastAsia="Times New Roman" w:hAnsi="Times New Roman" w:cs="Times New Roman"/>
                <w:b/>
                <w:bCs/>
                <w:noProof/>
                <w:color w:val="000000"/>
                <w:szCs w:val="20"/>
              </w:rPr>
              <w:t>ШУМЕРЛИНСКОГО МУНИЦИПАЛЬНОГО ОКРУГА</w:t>
            </w:r>
            <w:r w:rsidRPr="009060B9">
              <w:rPr>
                <w:rFonts w:ascii="Times New Roman" w:eastAsia="Times New Roman" w:hAnsi="Times New Roman" w:cs="Times New Roman"/>
                <w:noProof/>
                <w:color w:val="000000"/>
                <w:sz w:val="26"/>
                <w:szCs w:val="20"/>
              </w:rPr>
              <w:t xml:space="preserve"> </w:t>
            </w:r>
          </w:p>
          <w:p w:rsidR="009060B9" w:rsidRPr="009060B9" w:rsidRDefault="009060B9" w:rsidP="009060B9">
            <w:pPr>
              <w:autoSpaceDE w:val="0"/>
              <w:autoSpaceDN w:val="0"/>
              <w:adjustRightInd w:val="0"/>
              <w:spacing w:after="0"/>
              <w:jc w:val="center"/>
              <w:rPr>
                <w:rFonts w:ascii="Courier New" w:eastAsia="Times New Roman" w:hAnsi="Courier New" w:cs="Courier New"/>
                <w:bCs/>
                <w:color w:val="000000"/>
                <w:sz w:val="24"/>
                <w:szCs w:val="24"/>
                <w:lang w:eastAsia="ru-RU"/>
              </w:rPr>
            </w:pPr>
          </w:p>
          <w:p w:rsidR="009060B9" w:rsidRPr="009060B9" w:rsidRDefault="009060B9" w:rsidP="009060B9">
            <w:pPr>
              <w:spacing w:after="0" w:line="240" w:lineRule="auto"/>
              <w:jc w:val="center"/>
              <w:rPr>
                <w:rFonts w:ascii="TimesET" w:eastAsia="Times New Roman" w:hAnsi="TimesET" w:cs="Times New Roman"/>
                <w:b/>
                <w:sz w:val="48"/>
                <w:szCs w:val="48"/>
                <w:lang w:eastAsia="ru-RU"/>
              </w:rPr>
            </w:pPr>
            <w:r w:rsidRPr="009060B9">
              <w:rPr>
                <w:rFonts w:ascii="Times New Roman" w:eastAsia="Times New Roman" w:hAnsi="Times New Roman" w:cs="Times New Roman"/>
                <w:b/>
                <w:sz w:val="24"/>
                <w:szCs w:val="24"/>
                <w:lang w:eastAsia="ru-RU"/>
              </w:rPr>
              <w:t>ПОСТАНОВЛЕНИЕ</w:t>
            </w:r>
          </w:p>
          <w:p w:rsidR="009060B9" w:rsidRPr="009060B9" w:rsidRDefault="009060B9" w:rsidP="009060B9">
            <w:pPr>
              <w:spacing w:after="0" w:line="240" w:lineRule="auto"/>
              <w:jc w:val="center"/>
              <w:rPr>
                <w:rFonts w:ascii="Times New Roman" w:eastAsia="Times New Roman" w:hAnsi="Times New Roman" w:cs="Times New Roman"/>
                <w:sz w:val="24"/>
                <w:szCs w:val="24"/>
                <w:lang w:eastAsia="ru-RU"/>
              </w:rPr>
            </w:pPr>
          </w:p>
          <w:p w:rsidR="009060B9" w:rsidRPr="009060B9" w:rsidRDefault="00637E8C" w:rsidP="009060B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01.11.2024 № 1020</w:t>
            </w:r>
            <w:r w:rsidR="009060B9" w:rsidRPr="009060B9">
              <w:rPr>
                <w:rFonts w:ascii="Times New Roman" w:eastAsia="Times New Roman" w:hAnsi="Times New Roman" w:cs="Times New Roman"/>
                <w:sz w:val="24"/>
                <w:szCs w:val="24"/>
                <w:lang w:eastAsia="ru-RU"/>
              </w:rPr>
              <w:t xml:space="preserve"> </w:t>
            </w:r>
          </w:p>
          <w:p w:rsidR="009060B9" w:rsidRPr="009060B9" w:rsidRDefault="009060B9" w:rsidP="009060B9">
            <w:pPr>
              <w:spacing w:after="0" w:line="240" w:lineRule="auto"/>
              <w:jc w:val="center"/>
              <w:rPr>
                <w:rFonts w:ascii="Times New Roman" w:eastAsia="Times New Roman" w:hAnsi="Times New Roman" w:cs="Times New Roman"/>
                <w:b/>
                <w:sz w:val="28"/>
                <w:szCs w:val="24"/>
                <w:lang w:eastAsia="ru-RU"/>
              </w:rPr>
            </w:pPr>
            <w:r w:rsidRPr="009060B9">
              <w:rPr>
                <w:rFonts w:ascii="Times New Roman" w:eastAsia="Times New Roman" w:hAnsi="Times New Roman" w:cs="Times New Roman"/>
                <w:sz w:val="24"/>
                <w:szCs w:val="24"/>
                <w:lang w:eastAsia="ru-RU"/>
              </w:rPr>
              <w:t xml:space="preserve">  г. Шумерля</w:t>
            </w:r>
          </w:p>
          <w:p w:rsidR="009060B9" w:rsidRPr="009060B9" w:rsidRDefault="009060B9" w:rsidP="009060B9">
            <w:pPr>
              <w:autoSpaceDE w:val="0"/>
              <w:autoSpaceDN w:val="0"/>
              <w:adjustRightInd w:val="0"/>
              <w:spacing w:after="0"/>
              <w:ind w:right="-35"/>
              <w:jc w:val="both"/>
              <w:rPr>
                <w:rFonts w:ascii="Times New Roman" w:eastAsia="Times New Roman" w:hAnsi="Times New Roman" w:cs="Times New Roman"/>
                <w:noProof/>
                <w:sz w:val="26"/>
                <w:szCs w:val="20"/>
              </w:rPr>
            </w:pPr>
          </w:p>
        </w:tc>
      </w:tr>
    </w:tbl>
    <w:p w:rsidR="009060B9" w:rsidRPr="009060B9" w:rsidRDefault="009060B9" w:rsidP="009060B9">
      <w:pPr>
        <w:tabs>
          <w:tab w:val="left" w:pos="4111"/>
        </w:tabs>
        <w:spacing w:after="0" w:line="240" w:lineRule="auto"/>
        <w:ind w:right="5244"/>
        <w:jc w:val="both"/>
        <w:rPr>
          <w:rFonts w:ascii="Times New Roman" w:eastAsia="Times New Roman" w:hAnsi="Times New Roman" w:cs="Times New Roman"/>
          <w:noProof/>
          <w:color w:val="000000"/>
          <w:sz w:val="24"/>
          <w:szCs w:val="24"/>
        </w:rPr>
      </w:pPr>
      <w:r w:rsidRPr="009060B9">
        <w:rPr>
          <w:rFonts w:ascii="Times New Roman" w:eastAsia="Times New Roman" w:hAnsi="Times New Roman" w:cs="Times New Roman"/>
          <w:noProof/>
          <w:color w:val="000000"/>
          <w:sz w:val="24"/>
          <w:szCs w:val="24"/>
        </w:rPr>
        <w:t>Об утверждении программы комплексного развития систем коммунальной инфраструктуры Шумерлинского муниципального округа Чувашской Республики на 2024- 2034 годы</w:t>
      </w:r>
    </w:p>
    <w:p w:rsidR="009060B9" w:rsidRPr="009060B9" w:rsidRDefault="009060B9" w:rsidP="009060B9">
      <w:pPr>
        <w:tabs>
          <w:tab w:val="left" w:pos="4111"/>
        </w:tabs>
        <w:spacing w:after="0" w:line="240" w:lineRule="auto"/>
        <w:ind w:right="5244"/>
        <w:jc w:val="both"/>
        <w:rPr>
          <w:rFonts w:ascii="Times New Roman" w:eastAsia="Times New Roman" w:hAnsi="Times New Roman" w:cs="Times New Roman"/>
          <w:noProof/>
          <w:color w:val="000000"/>
          <w:sz w:val="24"/>
          <w:szCs w:val="24"/>
        </w:rPr>
      </w:pPr>
    </w:p>
    <w:p w:rsidR="009060B9" w:rsidRPr="009060B9" w:rsidRDefault="009060B9" w:rsidP="009060B9">
      <w:pPr>
        <w:spacing w:after="0" w:line="240" w:lineRule="auto"/>
        <w:ind w:right="5386"/>
        <w:jc w:val="both"/>
        <w:rPr>
          <w:rFonts w:ascii="Times New Roman" w:eastAsia="Times New Roman" w:hAnsi="Times New Roman" w:cs="Times New Roman"/>
          <w:noProof/>
          <w:color w:val="000000"/>
          <w:sz w:val="24"/>
          <w:szCs w:val="24"/>
        </w:rPr>
      </w:pPr>
    </w:p>
    <w:p w:rsidR="009060B9" w:rsidRPr="009060B9" w:rsidRDefault="009060B9" w:rsidP="009060B9">
      <w:pPr>
        <w:spacing w:after="0" w:line="240" w:lineRule="auto"/>
        <w:ind w:firstLine="567"/>
        <w:jc w:val="both"/>
        <w:rPr>
          <w:rFonts w:ascii="Times New Roman" w:eastAsia="Times New Roman" w:hAnsi="Times New Roman" w:cs="Times New Roman"/>
          <w:sz w:val="24"/>
          <w:szCs w:val="24"/>
          <w:lang w:eastAsia="ru-RU"/>
        </w:rPr>
      </w:pPr>
      <w:proofErr w:type="gramStart"/>
      <w:r w:rsidRPr="009060B9">
        <w:rPr>
          <w:rFonts w:ascii="Times New Roman" w:eastAsia="Times New Roman" w:hAnsi="Times New Roman" w:cs="Times New Roman"/>
          <w:sz w:val="24"/>
          <w:szCs w:val="24"/>
          <w:lang w:eastAsia="ru-RU"/>
        </w:rPr>
        <w:t>В соответствии с  Жилищным кодексом Российской Федерации,  Федеральным законом от 6 октября 2003 г. № 131-ФЗ «Об общих принципах организации местного самоуправления в Российской Федерации»,</w:t>
      </w:r>
      <w:r w:rsidRPr="009060B9">
        <w:rPr>
          <w:rFonts w:ascii="TimesET" w:eastAsia="Calibri" w:hAnsi="TimesET" w:cs="Times New Roman"/>
          <w:sz w:val="48"/>
          <w:szCs w:val="48"/>
        </w:rPr>
        <w:t xml:space="preserve"> </w:t>
      </w:r>
      <w:r w:rsidRPr="009060B9">
        <w:rPr>
          <w:rFonts w:ascii="Times New Roman" w:eastAsia="Calibri" w:hAnsi="Times New Roman" w:cs="Times New Roman"/>
          <w:bCs/>
          <w:color w:val="22272F"/>
          <w:sz w:val="24"/>
          <w:szCs w:val="24"/>
          <w:shd w:val="clear" w:color="auto" w:fill="FFFFFF"/>
        </w:rPr>
        <w:t xml:space="preserve">Постановлением Правительства Российской Федерации от 14 июня 2013 года № 502 «Об утверждении требований к программам комплексного развития систем коммунальной инфраструктуры поселений, муниципальных округов, городских округов», </w:t>
      </w:r>
      <w:r w:rsidRPr="009060B9">
        <w:rPr>
          <w:rFonts w:ascii="Times New Roman" w:eastAsia="Times New Roman" w:hAnsi="Times New Roman" w:cs="Times New Roman"/>
          <w:sz w:val="24"/>
          <w:szCs w:val="24"/>
          <w:lang w:eastAsia="ru-RU"/>
        </w:rPr>
        <w:t>Уставом Шумерлинского муниципального округа Чувашской Республики</w:t>
      </w:r>
      <w:proofErr w:type="gramEnd"/>
    </w:p>
    <w:p w:rsidR="009060B9" w:rsidRPr="009060B9" w:rsidRDefault="009060B9" w:rsidP="009060B9">
      <w:pPr>
        <w:spacing w:after="0" w:line="240" w:lineRule="auto"/>
        <w:ind w:firstLine="851"/>
        <w:jc w:val="both"/>
        <w:rPr>
          <w:rFonts w:ascii="Times New Roman" w:eastAsia="Times New Roman" w:hAnsi="Times New Roman" w:cs="Times New Roman"/>
          <w:sz w:val="24"/>
          <w:szCs w:val="24"/>
          <w:lang w:eastAsia="ru-RU"/>
        </w:rPr>
      </w:pPr>
      <w:r w:rsidRPr="009060B9">
        <w:rPr>
          <w:rFonts w:ascii="Times New Roman" w:eastAsia="Times New Roman" w:hAnsi="Times New Roman" w:cs="Times New Roman"/>
          <w:sz w:val="24"/>
          <w:szCs w:val="24"/>
          <w:lang w:eastAsia="ru-RU"/>
        </w:rPr>
        <w:t xml:space="preserve">администрация Шумерлинского муниципального округа  </w:t>
      </w:r>
      <w:proofErr w:type="gramStart"/>
      <w:r w:rsidRPr="009060B9">
        <w:rPr>
          <w:rFonts w:ascii="Times New Roman" w:eastAsia="Times New Roman" w:hAnsi="Times New Roman" w:cs="Times New Roman"/>
          <w:sz w:val="24"/>
          <w:szCs w:val="24"/>
          <w:lang w:eastAsia="ru-RU"/>
        </w:rPr>
        <w:t>п</w:t>
      </w:r>
      <w:proofErr w:type="gramEnd"/>
      <w:r w:rsidRPr="009060B9">
        <w:rPr>
          <w:rFonts w:ascii="Times New Roman" w:eastAsia="Times New Roman" w:hAnsi="Times New Roman" w:cs="Times New Roman"/>
          <w:sz w:val="24"/>
          <w:szCs w:val="24"/>
          <w:lang w:eastAsia="ru-RU"/>
        </w:rPr>
        <w:t xml:space="preserve"> о с т а н о в л я е т: </w:t>
      </w:r>
    </w:p>
    <w:p w:rsidR="009060B9" w:rsidRPr="009060B9" w:rsidRDefault="009060B9" w:rsidP="009060B9">
      <w:pPr>
        <w:spacing w:after="0" w:line="240" w:lineRule="auto"/>
        <w:ind w:firstLine="567"/>
        <w:jc w:val="both"/>
        <w:rPr>
          <w:rFonts w:ascii="Times New Roman" w:eastAsia="Times New Roman" w:hAnsi="Times New Roman" w:cs="Times New Roman"/>
          <w:sz w:val="24"/>
          <w:szCs w:val="24"/>
          <w:lang w:eastAsia="ru-RU"/>
        </w:rPr>
      </w:pPr>
    </w:p>
    <w:p w:rsidR="009060B9" w:rsidRPr="009060B9" w:rsidRDefault="009060B9" w:rsidP="009060B9">
      <w:pPr>
        <w:spacing w:after="0" w:line="240" w:lineRule="auto"/>
        <w:ind w:right="43" w:firstLine="567"/>
        <w:jc w:val="both"/>
        <w:rPr>
          <w:rFonts w:ascii="Times New Roman" w:eastAsia="Times New Roman" w:hAnsi="Times New Roman" w:cs="Times New Roman"/>
          <w:sz w:val="24"/>
          <w:szCs w:val="24"/>
          <w:lang w:eastAsia="x-none"/>
        </w:rPr>
      </w:pPr>
      <w:r w:rsidRPr="009060B9">
        <w:rPr>
          <w:rFonts w:ascii="Times New Roman" w:eastAsia="Times New Roman" w:hAnsi="Times New Roman" w:cs="Times New Roman"/>
          <w:sz w:val="24"/>
          <w:szCs w:val="24"/>
          <w:lang w:eastAsia="x-none"/>
        </w:rPr>
        <w:t>1. Утвердить программу комплексного развития систем коммунальной инфраструктуры Шумерлинского муниципального округа Чувашской Республики на 2024-2034 годы согласно приложению к настоящему постановлению.</w:t>
      </w:r>
    </w:p>
    <w:p w:rsidR="009060B9" w:rsidRPr="009060B9" w:rsidRDefault="009060B9" w:rsidP="009060B9">
      <w:pPr>
        <w:spacing w:after="0" w:line="240" w:lineRule="auto"/>
        <w:ind w:right="43" w:firstLine="567"/>
        <w:jc w:val="both"/>
        <w:rPr>
          <w:rFonts w:ascii="Times New Roman" w:eastAsia="Times New Roman" w:hAnsi="Times New Roman" w:cs="Times New Roman"/>
          <w:sz w:val="24"/>
          <w:szCs w:val="24"/>
          <w:lang w:eastAsia="ru-RU"/>
        </w:rPr>
      </w:pPr>
      <w:r w:rsidRPr="009060B9">
        <w:rPr>
          <w:rFonts w:ascii="Times New Roman" w:eastAsia="Times New Roman" w:hAnsi="Times New Roman" w:cs="Times New Roman"/>
          <w:sz w:val="24"/>
          <w:szCs w:val="24"/>
          <w:lang w:eastAsia="x-none"/>
        </w:rPr>
        <w:t>2. Настоящее постановление вступает в силу после его официального опубликования в периодическом печатном издании «Вестник Шумерлинского муниципального округа» и подлежит размещению на официальном сайте Шумерлинского муниципального округа в информационно-телекоммуникационной сети «Интернет».</w:t>
      </w:r>
    </w:p>
    <w:p w:rsidR="009060B9" w:rsidRPr="009060B9" w:rsidRDefault="009060B9" w:rsidP="009060B9">
      <w:pPr>
        <w:spacing w:after="0" w:line="240" w:lineRule="auto"/>
        <w:ind w:right="43" w:firstLine="567"/>
        <w:jc w:val="both"/>
        <w:rPr>
          <w:rFonts w:ascii="Times New Roman" w:eastAsia="Times New Roman" w:hAnsi="Times New Roman" w:cs="Times New Roman"/>
          <w:sz w:val="24"/>
          <w:szCs w:val="24"/>
          <w:lang w:eastAsia="ru-RU"/>
        </w:rPr>
      </w:pPr>
      <w:r w:rsidRPr="009060B9">
        <w:rPr>
          <w:rFonts w:ascii="Times New Roman" w:eastAsia="Times New Roman" w:hAnsi="Times New Roman" w:cs="Times New Roman"/>
          <w:sz w:val="24"/>
          <w:szCs w:val="24"/>
          <w:lang w:eastAsia="ru-RU"/>
        </w:rPr>
        <w:t xml:space="preserve">3. </w:t>
      </w:r>
      <w:proofErr w:type="gramStart"/>
      <w:r w:rsidRPr="009060B9">
        <w:rPr>
          <w:rFonts w:ascii="Times New Roman" w:eastAsia="Times New Roman" w:hAnsi="Times New Roman" w:cs="Times New Roman"/>
          <w:sz w:val="24"/>
          <w:szCs w:val="24"/>
          <w:lang w:eastAsia="ru-RU"/>
        </w:rPr>
        <w:t>Контроль за</w:t>
      </w:r>
      <w:proofErr w:type="gramEnd"/>
      <w:r w:rsidRPr="009060B9">
        <w:rPr>
          <w:rFonts w:ascii="Times New Roman" w:eastAsia="Times New Roman" w:hAnsi="Times New Roman" w:cs="Times New Roman"/>
          <w:sz w:val="24"/>
          <w:szCs w:val="24"/>
          <w:lang w:eastAsia="ru-RU"/>
        </w:rPr>
        <w:t xml:space="preserve"> исполнением настоящего постановления возложить на первого заместителя главы администрации – начальника Управления по благоустройству и развитию территорий администрации Шумерлинского муниципального округа. </w:t>
      </w:r>
    </w:p>
    <w:p w:rsidR="009060B9" w:rsidRPr="009060B9" w:rsidRDefault="009060B9" w:rsidP="009060B9">
      <w:pPr>
        <w:spacing w:after="0" w:line="240" w:lineRule="auto"/>
        <w:ind w:right="43" w:firstLine="567"/>
        <w:jc w:val="both"/>
        <w:rPr>
          <w:rFonts w:ascii="Times New Roman" w:eastAsia="Times New Roman" w:hAnsi="Times New Roman" w:cs="Times New Roman"/>
          <w:sz w:val="24"/>
          <w:szCs w:val="24"/>
          <w:lang w:eastAsia="ru-RU"/>
        </w:rPr>
      </w:pPr>
    </w:p>
    <w:p w:rsidR="009060B9" w:rsidRPr="009060B9" w:rsidRDefault="009060B9" w:rsidP="009060B9">
      <w:pPr>
        <w:autoSpaceDE w:val="0"/>
        <w:autoSpaceDN w:val="0"/>
        <w:adjustRightInd w:val="0"/>
        <w:spacing w:after="0" w:line="240" w:lineRule="auto"/>
        <w:contextualSpacing/>
        <w:jc w:val="both"/>
        <w:rPr>
          <w:rFonts w:ascii="Times New Roman" w:eastAsia="Calibri" w:hAnsi="Times New Roman" w:cs="Times New Roman"/>
          <w:bCs/>
          <w:sz w:val="24"/>
          <w:szCs w:val="24"/>
        </w:rPr>
      </w:pPr>
    </w:p>
    <w:p w:rsidR="009060B9" w:rsidRPr="009060B9" w:rsidRDefault="009060B9" w:rsidP="009060B9">
      <w:pPr>
        <w:autoSpaceDE w:val="0"/>
        <w:autoSpaceDN w:val="0"/>
        <w:adjustRightInd w:val="0"/>
        <w:spacing w:after="0" w:line="240" w:lineRule="auto"/>
        <w:contextualSpacing/>
        <w:jc w:val="both"/>
        <w:rPr>
          <w:rFonts w:ascii="Times New Roman" w:eastAsia="Calibri" w:hAnsi="Times New Roman" w:cs="Times New Roman"/>
          <w:bCs/>
          <w:sz w:val="24"/>
          <w:szCs w:val="24"/>
        </w:rPr>
      </w:pPr>
    </w:p>
    <w:p w:rsidR="009060B9" w:rsidRPr="009060B9" w:rsidRDefault="009060B9" w:rsidP="009060B9">
      <w:pPr>
        <w:autoSpaceDE w:val="0"/>
        <w:autoSpaceDN w:val="0"/>
        <w:adjustRightInd w:val="0"/>
        <w:spacing w:after="0" w:line="240" w:lineRule="auto"/>
        <w:contextualSpacing/>
        <w:jc w:val="both"/>
        <w:rPr>
          <w:rFonts w:ascii="Times New Roman" w:eastAsia="Calibri" w:hAnsi="Times New Roman" w:cs="Times New Roman"/>
          <w:bCs/>
          <w:sz w:val="24"/>
          <w:szCs w:val="24"/>
        </w:rPr>
      </w:pPr>
    </w:p>
    <w:p w:rsidR="009060B9" w:rsidRPr="009060B9" w:rsidRDefault="009060B9" w:rsidP="009060B9">
      <w:pPr>
        <w:autoSpaceDE w:val="0"/>
        <w:autoSpaceDN w:val="0"/>
        <w:adjustRightInd w:val="0"/>
        <w:spacing w:after="0" w:line="240" w:lineRule="auto"/>
        <w:rPr>
          <w:rFonts w:ascii="Times New Roman" w:eastAsia="Calibri" w:hAnsi="Times New Roman" w:cs="Times New Roman"/>
          <w:sz w:val="24"/>
          <w:szCs w:val="24"/>
        </w:rPr>
      </w:pPr>
      <w:r w:rsidRPr="009060B9">
        <w:rPr>
          <w:rFonts w:ascii="Times New Roman" w:eastAsia="Calibri" w:hAnsi="Times New Roman" w:cs="Times New Roman"/>
          <w:sz w:val="24"/>
          <w:szCs w:val="24"/>
        </w:rPr>
        <w:t>Глав</w:t>
      </w:r>
      <w:r w:rsidR="00637E8C">
        <w:rPr>
          <w:rFonts w:ascii="Times New Roman" w:eastAsia="Calibri" w:hAnsi="Times New Roman" w:cs="Times New Roman"/>
          <w:sz w:val="24"/>
          <w:szCs w:val="24"/>
        </w:rPr>
        <w:t>а</w:t>
      </w:r>
      <w:r w:rsidRPr="009060B9">
        <w:rPr>
          <w:rFonts w:ascii="Times New Roman" w:eastAsia="Calibri" w:hAnsi="Times New Roman" w:cs="Times New Roman"/>
          <w:sz w:val="24"/>
          <w:szCs w:val="24"/>
        </w:rPr>
        <w:t xml:space="preserve"> Шумерлинского</w:t>
      </w:r>
    </w:p>
    <w:p w:rsidR="009060B9" w:rsidRPr="009060B9" w:rsidRDefault="009060B9" w:rsidP="009060B9">
      <w:pPr>
        <w:autoSpaceDE w:val="0"/>
        <w:autoSpaceDN w:val="0"/>
        <w:adjustRightInd w:val="0"/>
        <w:spacing w:after="0" w:line="240" w:lineRule="auto"/>
        <w:rPr>
          <w:rFonts w:ascii="Times New Roman" w:eastAsia="Calibri" w:hAnsi="Times New Roman" w:cs="Times New Roman"/>
          <w:sz w:val="24"/>
          <w:szCs w:val="24"/>
        </w:rPr>
      </w:pPr>
      <w:r w:rsidRPr="009060B9">
        <w:rPr>
          <w:rFonts w:ascii="Times New Roman" w:eastAsia="Calibri" w:hAnsi="Times New Roman" w:cs="Times New Roman"/>
          <w:sz w:val="24"/>
          <w:szCs w:val="24"/>
        </w:rPr>
        <w:t xml:space="preserve">муниципального округа                                                                                           Д.И. Головин </w:t>
      </w:r>
    </w:p>
    <w:p w:rsidR="009060B9" w:rsidRPr="009060B9" w:rsidRDefault="00637E8C" w:rsidP="009060B9">
      <w:pPr>
        <w:autoSpaceDE w:val="0"/>
        <w:autoSpaceDN w:val="0"/>
        <w:adjustRightInd w:val="0"/>
        <w:spacing w:after="0" w:line="240" w:lineRule="auto"/>
        <w:contextualSpacing/>
        <w:jc w:val="both"/>
        <w:rPr>
          <w:rFonts w:ascii="Times New Roman" w:eastAsia="Calibri" w:hAnsi="Times New Roman" w:cs="Times New Roman"/>
          <w:bCs/>
          <w:sz w:val="24"/>
          <w:szCs w:val="24"/>
        </w:rPr>
      </w:pPr>
      <w:r>
        <w:rPr>
          <w:rFonts w:ascii="Times New Roman" w:eastAsia="Calibri" w:hAnsi="Times New Roman" w:cs="Times New Roman"/>
          <w:bCs/>
          <w:sz w:val="24"/>
          <w:szCs w:val="24"/>
        </w:rPr>
        <w:t>Чувашской Республики</w:t>
      </w:r>
    </w:p>
    <w:p w:rsidR="009060B9" w:rsidRPr="009060B9" w:rsidRDefault="009060B9" w:rsidP="009060B9">
      <w:pPr>
        <w:autoSpaceDE w:val="0"/>
        <w:autoSpaceDN w:val="0"/>
        <w:adjustRightInd w:val="0"/>
        <w:spacing w:after="0" w:line="240" w:lineRule="auto"/>
        <w:contextualSpacing/>
        <w:jc w:val="both"/>
        <w:rPr>
          <w:rFonts w:ascii="Times New Roman" w:eastAsia="Calibri" w:hAnsi="Times New Roman" w:cs="Times New Roman"/>
          <w:bCs/>
        </w:rPr>
      </w:pPr>
    </w:p>
    <w:p w:rsidR="009060B9" w:rsidRPr="009060B9" w:rsidRDefault="009060B9" w:rsidP="009060B9">
      <w:pPr>
        <w:rPr>
          <w:rFonts w:ascii="TimesET" w:eastAsia="Calibri" w:hAnsi="TimesET" w:cs="Times New Roman"/>
          <w:sz w:val="24"/>
          <w:szCs w:val="24"/>
        </w:rPr>
      </w:pPr>
    </w:p>
    <w:p w:rsidR="009060B9" w:rsidRPr="009060B9" w:rsidRDefault="009060B9" w:rsidP="009060B9">
      <w:pPr>
        <w:rPr>
          <w:rFonts w:ascii="TimesET" w:eastAsia="Calibri" w:hAnsi="TimesET" w:cs="Times New Roman"/>
          <w:sz w:val="24"/>
          <w:szCs w:val="24"/>
        </w:rPr>
      </w:pPr>
    </w:p>
    <w:p w:rsidR="009060B9" w:rsidRPr="009060B9" w:rsidRDefault="009060B9" w:rsidP="009060B9">
      <w:pPr>
        <w:rPr>
          <w:rFonts w:ascii="TimesET" w:eastAsia="Calibri" w:hAnsi="TimesET" w:cs="Times New Roman"/>
          <w:sz w:val="24"/>
          <w:szCs w:val="24"/>
        </w:rPr>
      </w:pPr>
    </w:p>
    <w:p w:rsidR="009060B9" w:rsidRPr="009060B9" w:rsidRDefault="009060B9" w:rsidP="009060B9">
      <w:pPr>
        <w:rPr>
          <w:rFonts w:ascii="TimesET" w:eastAsia="Calibri" w:hAnsi="TimesET" w:cs="Times New Roman"/>
          <w:sz w:val="24"/>
          <w:szCs w:val="24"/>
        </w:rPr>
      </w:pPr>
    </w:p>
    <w:p w:rsidR="00C973DE" w:rsidRDefault="00592BA7" w:rsidP="00592BA7">
      <w:pPr>
        <w:autoSpaceDE w:val="0"/>
        <w:autoSpaceDN w:val="0"/>
        <w:adjustRightInd w:val="0"/>
        <w:spacing w:after="0" w:line="240" w:lineRule="auto"/>
        <w:jc w:val="right"/>
        <w:rPr>
          <w:rFonts w:ascii="Times New Roman" w:hAnsi="Times New Roman" w:cs="Times New Roman"/>
          <w:sz w:val="24"/>
          <w:szCs w:val="26"/>
        </w:rPr>
      </w:pPr>
      <w:r>
        <w:rPr>
          <w:rFonts w:ascii="Times New Roman" w:hAnsi="Times New Roman" w:cs="Times New Roman"/>
          <w:sz w:val="24"/>
          <w:szCs w:val="26"/>
        </w:rPr>
        <w:lastRenderedPageBreak/>
        <w:t>Приложение</w:t>
      </w:r>
    </w:p>
    <w:p w:rsidR="00592BA7" w:rsidRDefault="00592BA7" w:rsidP="00592BA7">
      <w:pPr>
        <w:autoSpaceDE w:val="0"/>
        <w:autoSpaceDN w:val="0"/>
        <w:adjustRightInd w:val="0"/>
        <w:spacing w:after="0" w:line="240" w:lineRule="auto"/>
        <w:jc w:val="right"/>
        <w:rPr>
          <w:rFonts w:ascii="Times New Roman" w:hAnsi="Times New Roman" w:cs="Times New Roman"/>
          <w:sz w:val="24"/>
          <w:szCs w:val="26"/>
        </w:rPr>
      </w:pPr>
      <w:r>
        <w:rPr>
          <w:rFonts w:ascii="Times New Roman" w:hAnsi="Times New Roman" w:cs="Times New Roman"/>
          <w:sz w:val="24"/>
          <w:szCs w:val="26"/>
        </w:rPr>
        <w:t xml:space="preserve">к </w:t>
      </w:r>
      <w:r w:rsidR="00637E8C">
        <w:rPr>
          <w:rFonts w:ascii="Times New Roman" w:hAnsi="Times New Roman" w:cs="Times New Roman"/>
          <w:sz w:val="24"/>
          <w:szCs w:val="26"/>
        </w:rPr>
        <w:t>постановлению администрации</w:t>
      </w:r>
      <w:r>
        <w:rPr>
          <w:rFonts w:ascii="Times New Roman" w:hAnsi="Times New Roman" w:cs="Times New Roman"/>
          <w:sz w:val="24"/>
          <w:szCs w:val="26"/>
        </w:rPr>
        <w:t xml:space="preserve"> </w:t>
      </w:r>
    </w:p>
    <w:p w:rsidR="00592BA7" w:rsidRDefault="00592BA7" w:rsidP="00592BA7">
      <w:pPr>
        <w:autoSpaceDE w:val="0"/>
        <w:autoSpaceDN w:val="0"/>
        <w:adjustRightInd w:val="0"/>
        <w:spacing w:after="0" w:line="240" w:lineRule="auto"/>
        <w:jc w:val="right"/>
        <w:rPr>
          <w:rFonts w:ascii="Times New Roman" w:hAnsi="Times New Roman" w:cs="Times New Roman"/>
          <w:sz w:val="24"/>
          <w:szCs w:val="26"/>
        </w:rPr>
      </w:pPr>
      <w:r>
        <w:rPr>
          <w:rFonts w:ascii="Times New Roman" w:hAnsi="Times New Roman" w:cs="Times New Roman"/>
          <w:sz w:val="24"/>
          <w:szCs w:val="26"/>
        </w:rPr>
        <w:t>Шумерлинского муниципального округа</w:t>
      </w:r>
    </w:p>
    <w:p w:rsidR="00592BA7" w:rsidRDefault="00592BA7" w:rsidP="00592BA7">
      <w:pPr>
        <w:autoSpaceDE w:val="0"/>
        <w:autoSpaceDN w:val="0"/>
        <w:adjustRightInd w:val="0"/>
        <w:spacing w:after="0" w:line="240" w:lineRule="auto"/>
        <w:jc w:val="right"/>
        <w:rPr>
          <w:rFonts w:ascii="Times New Roman" w:hAnsi="Times New Roman" w:cs="Times New Roman"/>
          <w:sz w:val="24"/>
          <w:szCs w:val="26"/>
        </w:rPr>
      </w:pPr>
      <w:r>
        <w:rPr>
          <w:rFonts w:ascii="Times New Roman" w:hAnsi="Times New Roman" w:cs="Times New Roman"/>
          <w:sz w:val="24"/>
          <w:szCs w:val="26"/>
        </w:rPr>
        <w:t>Чувашской Республики</w:t>
      </w:r>
    </w:p>
    <w:p w:rsidR="00592BA7" w:rsidRDefault="00592BA7" w:rsidP="00592BA7">
      <w:pPr>
        <w:autoSpaceDE w:val="0"/>
        <w:autoSpaceDN w:val="0"/>
        <w:adjustRightInd w:val="0"/>
        <w:spacing w:after="0" w:line="240" w:lineRule="auto"/>
        <w:jc w:val="right"/>
        <w:rPr>
          <w:rFonts w:ascii="Times New Roman" w:hAnsi="Times New Roman" w:cs="Times New Roman"/>
          <w:sz w:val="24"/>
          <w:szCs w:val="26"/>
        </w:rPr>
      </w:pPr>
      <w:r>
        <w:rPr>
          <w:rFonts w:ascii="Times New Roman" w:hAnsi="Times New Roman" w:cs="Times New Roman"/>
          <w:sz w:val="24"/>
          <w:szCs w:val="26"/>
        </w:rPr>
        <w:t xml:space="preserve">от </w:t>
      </w:r>
      <w:r w:rsidR="00637E8C">
        <w:rPr>
          <w:rFonts w:ascii="Times New Roman" w:hAnsi="Times New Roman" w:cs="Times New Roman"/>
          <w:sz w:val="24"/>
          <w:szCs w:val="26"/>
        </w:rPr>
        <w:t>01.11.</w:t>
      </w:r>
      <w:r>
        <w:rPr>
          <w:rFonts w:ascii="Times New Roman" w:hAnsi="Times New Roman" w:cs="Times New Roman"/>
          <w:sz w:val="24"/>
          <w:szCs w:val="26"/>
        </w:rPr>
        <w:t>2024 г. №</w:t>
      </w:r>
      <w:r w:rsidR="00637E8C">
        <w:rPr>
          <w:rFonts w:ascii="Times New Roman" w:hAnsi="Times New Roman" w:cs="Times New Roman"/>
          <w:sz w:val="24"/>
          <w:szCs w:val="26"/>
        </w:rPr>
        <w:t xml:space="preserve"> </w:t>
      </w:r>
      <w:bookmarkStart w:id="0" w:name="_GoBack"/>
      <w:bookmarkEnd w:id="0"/>
      <w:r w:rsidR="00637E8C">
        <w:rPr>
          <w:rFonts w:ascii="Times New Roman" w:hAnsi="Times New Roman" w:cs="Times New Roman"/>
          <w:sz w:val="24"/>
          <w:szCs w:val="26"/>
        </w:rPr>
        <w:t>1020</w:t>
      </w:r>
    </w:p>
    <w:p w:rsidR="00C973DE" w:rsidRDefault="00C973DE" w:rsidP="00B1756F">
      <w:pPr>
        <w:autoSpaceDE w:val="0"/>
        <w:autoSpaceDN w:val="0"/>
        <w:adjustRightInd w:val="0"/>
        <w:spacing w:after="0" w:line="240" w:lineRule="auto"/>
        <w:rPr>
          <w:rFonts w:ascii="Times New Roman" w:hAnsi="Times New Roman" w:cs="Times New Roman"/>
          <w:sz w:val="24"/>
          <w:szCs w:val="26"/>
        </w:rPr>
      </w:pPr>
    </w:p>
    <w:p w:rsidR="00C973DE" w:rsidRDefault="00C973DE" w:rsidP="00B1756F">
      <w:pPr>
        <w:autoSpaceDE w:val="0"/>
        <w:autoSpaceDN w:val="0"/>
        <w:adjustRightInd w:val="0"/>
        <w:spacing w:after="0" w:line="240" w:lineRule="auto"/>
        <w:rPr>
          <w:rFonts w:ascii="Times New Roman" w:hAnsi="Times New Roman" w:cs="Times New Roman"/>
          <w:sz w:val="24"/>
          <w:szCs w:val="26"/>
        </w:rPr>
      </w:pPr>
    </w:p>
    <w:p w:rsidR="00171D1D" w:rsidRPr="00171D1D" w:rsidRDefault="00171D1D" w:rsidP="00171D1D"/>
    <w:p w:rsidR="00171D1D" w:rsidRPr="00171D1D" w:rsidRDefault="00171D1D" w:rsidP="00592BA7">
      <w:pPr>
        <w:rPr>
          <w:rFonts w:ascii="Times New Roman" w:hAnsi="Times New Roman" w:cs="Times New Roman"/>
          <w:b/>
          <w:sz w:val="28"/>
          <w:szCs w:val="28"/>
        </w:rPr>
      </w:pPr>
    </w:p>
    <w:p w:rsidR="00171D1D" w:rsidRPr="00171D1D" w:rsidRDefault="00171D1D" w:rsidP="00171D1D">
      <w:pPr>
        <w:jc w:val="center"/>
        <w:rPr>
          <w:rFonts w:ascii="Times New Roman" w:hAnsi="Times New Roman" w:cs="Times New Roman"/>
          <w:b/>
          <w:sz w:val="28"/>
          <w:szCs w:val="28"/>
        </w:rPr>
      </w:pPr>
      <w:r w:rsidRPr="00171D1D">
        <w:rPr>
          <w:rFonts w:ascii="Times New Roman" w:hAnsi="Times New Roman" w:cs="Times New Roman"/>
          <w:b/>
          <w:sz w:val="28"/>
          <w:szCs w:val="28"/>
        </w:rPr>
        <w:t>ПРОГРАММА КОМЛЕКСНОГО РАЗВИТИЯ СИСТЕМ КОММУНАЛЬНОЙ ИНФРАСТРУКТУРЫ</w:t>
      </w:r>
    </w:p>
    <w:p w:rsidR="00171D1D" w:rsidRPr="00171D1D" w:rsidRDefault="00171D1D" w:rsidP="00171D1D">
      <w:pPr>
        <w:jc w:val="center"/>
        <w:rPr>
          <w:rFonts w:ascii="Times New Roman" w:hAnsi="Times New Roman" w:cs="Times New Roman"/>
          <w:b/>
          <w:sz w:val="28"/>
          <w:szCs w:val="28"/>
        </w:rPr>
      </w:pPr>
      <w:r w:rsidRPr="00171D1D">
        <w:rPr>
          <w:rFonts w:ascii="Times New Roman" w:hAnsi="Times New Roman" w:cs="Times New Roman"/>
          <w:b/>
          <w:sz w:val="28"/>
          <w:szCs w:val="28"/>
        </w:rPr>
        <w:t>Шумерлинского муниципального округа Чувашской Республики на 2024-2034 годы</w:t>
      </w:r>
    </w:p>
    <w:p w:rsidR="00171D1D" w:rsidRPr="00171D1D" w:rsidRDefault="00171D1D" w:rsidP="00171D1D">
      <w:pPr>
        <w:jc w:val="center"/>
        <w:rPr>
          <w:rFonts w:ascii="Times New Roman" w:hAnsi="Times New Roman" w:cs="Times New Roman"/>
          <w:b/>
          <w:sz w:val="28"/>
          <w:szCs w:val="28"/>
        </w:rPr>
      </w:pPr>
    </w:p>
    <w:p w:rsidR="00171D1D" w:rsidRPr="00171D1D" w:rsidRDefault="00171D1D" w:rsidP="00171D1D">
      <w:pPr>
        <w:jc w:val="center"/>
        <w:rPr>
          <w:rFonts w:ascii="Times New Roman" w:hAnsi="Times New Roman" w:cs="Times New Roman"/>
          <w:b/>
          <w:sz w:val="28"/>
          <w:szCs w:val="28"/>
        </w:rPr>
      </w:pPr>
    </w:p>
    <w:p w:rsidR="00171D1D" w:rsidRPr="00171D1D" w:rsidRDefault="00171D1D" w:rsidP="00171D1D">
      <w:pPr>
        <w:jc w:val="center"/>
        <w:rPr>
          <w:rFonts w:ascii="Times New Roman" w:hAnsi="Times New Roman" w:cs="Times New Roman"/>
          <w:b/>
          <w:sz w:val="28"/>
          <w:szCs w:val="28"/>
        </w:rPr>
      </w:pPr>
    </w:p>
    <w:p w:rsidR="00171D1D" w:rsidRPr="00171D1D" w:rsidRDefault="00171D1D" w:rsidP="00171D1D">
      <w:pPr>
        <w:jc w:val="center"/>
        <w:rPr>
          <w:rFonts w:ascii="Times New Roman" w:hAnsi="Times New Roman" w:cs="Times New Roman"/>
          <w:b/>
          <w:sz w:val="28"/>
          <w:szCs w:val="28"/>
        </w:rPr>
      </w:pPr>
    </w:p>
    <w:p w:rsidR="00171D1D" w:rsidRPr="00171D1D" w:rsidRDefault="00171D1D" w:rsidP="00171D1D">
      <w:pPr>
        <w:jc w:val="center"/>
        <w:rPr>
          <w:rFonts w:ascii="Times New Roman" w:hAnsi="Times New Roman" w:cs="Times New Roman"/>
          <w:b/>
          <w:sz w:val="28"/>
          <w:szCs w:val="28"/>
        </w:rPr>
      </w:pPr>
    </w:p>
    <w:p w:rsidR="00171D1D" w:rsidRPr="00171D1D" w:rsidRDefault="00171D1D" w:rsidP="00171D1D">
      <w:pPr>
        <w:jc w:val="center"/>
        <w:rPr>
          <w:rFonts w:ascii="Times New Roman" w:hAnsi="Times New Roman" w:cs="Times New Roman"/>
          <w:b/>
          <w:sz w:val="28"/>
          <w:szCs w:val="28"/>
        </w:rPr>
      </w:pPr>
    </w:p>
    <w:p w:rsidR="00171D1D" w:rsidRPr="00171D1D" w:rsidRDefault="00171D1D" w:rsidP="00171D1D">
      <w:pPr>
        <w:jc w:val="center"/>
        <w:rPr>
          <w:rFonts w:ascii="Times New Roman" w:hAnsi="Times New Roman" w:cs="Times New Roman"/>
          <w:b/>
          <w:sz w:val="28"/>
          <w:szCs w:val="28"/>
        </w:rPr>
      </w:pPr>
    </w:p>
    <w:p w:rsidR="00171D1D" w:rsidRPr="00171D1D" w:rsidRDefault="00171D1D" w:rsidP="00171D1D">
      <w:pPr>
        <w:jc w:val="center"/>
        <w:rPr>
          <w:rFonts w:ascii="Times New Roman" w:hAnsi="Times New Roman" w:cs="Times New Roman"/>
          <w:b/>
          <w:sz w:val="28"/>
          <w:szCs w:val="28"/>
        </w:rPr>
      </w:pPr>
      <w:r w:rsidRPr="00171D1D">
        <w:rPr>
          <w:rFonts w:ascii="Times New Roman" w:hAnsi="Times New Roman" w:cs="Times New Roman"/>
          <w:b/>
          <w:sz w:val="28"/>
          <w:szCs w:val="28"/>
        </w:rPr>
        <w:t>ОБОСНОВЫВАЮЩИЕ МАТЕРИАЛЫ</w:t>
      </w:r>
    </w:p>
    <w:p w:rsidR="00171D1D" w:rsidRPr="00171D1D" w:rsidRDefault="00171D1D" w:rsidP="00171D1D">
      <w:pPr>
        <w:jc w:val="center"/>
        <w:rPr>
          <w:rFonts w:ascii="Times New Roman" w:hAnsi="Times New Roman" w:cs="Times New Roman"/>
          <w:b/>
          <w:sz w:val="28"/>
          <w:szCs w:val="28"/>
        </w:rPr>
      </w:pPr>
    </w:p>
    <w:p w:rsidR="00171D1D" w:rsidRPr="00171D1D" w:rsidRDefault="00171D1D" w:rsidP="00171D1D">
      <w:pPr>
        <w:jc w:val="center"/>
        <w:rPr>
          <w:rFonts w:ascii="Times New Roman" w:hAnsi="Times New Roman" w:cs="Times New Roman"/>
          <w:b/>
          <w:sz w:val="28"/>
          <w:szCs w:val="28"/>
        </w:rPr>
      </w:pPr>
    </w:p>
    <w:p w:rsidR="00171D1D" w:rsidRPr="00171D1D" w:rsidRDefault="00171D1D" w:rsidP="00171D1D">
      <w:pPr>
        <w:jc w:val="center"/>
      </w:pPr>
    </w:p>
    <w:p w:rsidR="00171D1D" w:rsidRPr="00171D1D" w:rsidRDefault="00171D1D" w:rsidP="00171D1D">
      <w:pPr>
        <w:jc w:val="center"/>
      </w:pPr>
    </w:p>
    <w:p w:rsidR="00171D1D" w:rsidRDefault="00171D1D" w:rsidP="00171D1D"/>
    <w:p w:rsidR="00171D1D" w:rsidRPr="00171D1D" w:rsidRDefault="00171D1D" w:rsidP="00171D1D"/>
    <w:p w:rsidR="00171D1D" w:rsidRPr="00171D1D" w:rsidRDefault="00171D1D" w:rsidP="00171D1D"/>
    <w:p w:rsidR="00171D1D" w:rsidRPr="00171D1D" w:rsidRDefault="00171D1D" w:rsidP="00171D1D">
      <w:pPr>
        <w:jc w:val="center"/>
      </w:pPr>
      <w:r w:rsidRPr="00171D1D">
        <w:t>2024 год</w:t>
      </w:r>
    </w:p>
    <w:p w:rsidR="00171D1D" w:rsidRPr="00171D1D" w:rsidRDefault="00171D1D" w:rsidP="00592BA7">
      <w:pPr>
        <w:jc w:val="both"/>
        <w:rPr>
          <w:rFonts w:ascii="Times New Roman" w:hAnsi="Times New Roman" w:cs="Times New Roman"/>
          <w:b/>
          <w:sz w:val="28"/>
          <w:szCs w:val="28"/>
        </w:rPr>
      </w:pPr>
      <w:r w:rsidRPr="00171D1D">
        <w:br w:type="page"/>
      </w:r>
      <w:r w:rsidRPr="00171D1D">
        <w:rPr>
          <w:rFonts w:ascii="Times New Roman" w:hAnsi="Times New Roman" w:cs="Times New Roman"/>
          <w:b/>
          <w:sz w:val="28"/>
          <w:szCs w:val="28"/>
        </w:rPr>
        <w:lastRenderedPageBreak/>
        <w:t>Заказчик:</w:t>
      </w:r>
    </w:p>
    <w:p w:rsidR="00171D1D" w:rsidRPr="00171D1D" w:rsidRDefault="00171D1D" w:rsidP="00592BA7">
      <w:pPr>
        <w:jc w:val="both"/>
        <w:rPr>
          <w:rFonts w:ascii="Times New Roman" w:hAnsi="Times New Roman" w:cs="Times New Roman"/>
          <w:b/>
          <w:sz w:val="24"/>
          <w:szCs w:val="24"/>
        </w:rPr>
      </w:pPr>
      <w:r w:rsidRPr="00171D1D">
        <w:rPr>
          <w:rFonts w:ascii="Times New Roman" w:hAnsi="Times New Roman" w:cs="Times New Roman"/>
          <w:b/>
          <w:sz w:val="24"/>
          <w:szCs w:val="24"/>
        </w:rPr>
        <w:t>Управление по благоустройству и развитию территорий администрации Шумерлинского муниципального округа Чувашской Республики</w:t>
      </w:r>
    </w:p>
    <w:p w:rsidR="00171D1D" w:rsidRPr="00171D1D" w:rsidRDefault="00171D1D" w:rsidP="00592BA7">
      <w:pPr>
        <w:jc w:val="both"/>
        <w:rPr>
          <w:rFonts w:ascii="Times New Roman" w:hAnsi="Times New Roman" w:cs="Times New Roman"/>
          <w:sz w:val="24"/>
          <w:szCs w:val="24"/>
        </w:rPr>
      </w:pPr>
      <w:r w:rsidRPr="00171D1D">
        <w:rPr>
          <w:rFonts w:ascii="Times New Roman" w:hAnsi="Times New Roman" w:cs="Times New Roman"/>
          <w:sz w:val="24"/>
          <w:szCs w:val="24"/>
        </w:rPr>
        <w:t>Юридический адрес 429122, Чувашская Республика, г. Шумерля, ул. Октябрьская, д.24</w:t>
      </w:r>
    </w:p>
    <w:p w:rsidR="00171D1D" w:rsidRPr="00592BA7" w:rsidRDefault="00171D1D" w:rsidP="00592BA7">
      <w:pPr>
        <w:jc w:val="both"/>
        <w:rPr>
          <w:rFonts w:ascii="Times New Roman" w:hAnsi="Times New Roman" w:cs="Times New Roman"/>
          <w:sz w:val="24"/>
          <w:szCs w:val="24"/>
        </w:rPr>
      </w:pPr>
      <w:proofErr w:type="gramStart"/>
      <w:r w:rsidRPr="00171D1D">
        <w:rPr>
          <w:rFonts w:ascii="Times New Roman" w:hAnsi="Times New Roman" w:cs="Times New Roman"/>
          <w:sz w:val="24"/>
          <w:szCs w:val="24"/>
        </w:rPr>
        <w:t>Фактический адрес: 429122, Чувашская Республика, г. Шумерля, ул. Октябрьская, д.24</w:t>
      </w:r>
      <w:proofErr w:type="gramEnd"/>
    </w:p>
    <w:p w:rsidR="00171D1D" w:rsidRPr="00171D1D" w:rsidRDefault="00171D1D" w:rsidP="00592BA7">
      <w:pPr>
        <w:jc w:val="both"/>
        <w:rPr>
          <w:rFonts w:ascii="Times New Roman" w:hAnsi="Times New Roman" w:cs="Times New Roman"/>
          <w:b/>
          <w:sz w:val="24"/>
          <w:szCs w:val="24"/>
        </w:rPr>
      </w:pPr>
      <w:r w:rsidRPr="00171D1D">
        <w:rPr>
          <w:rFonts w:ascii="Times New Roman" w:hAnsi="Times New Roman" w:cs="Times New Roman"/>
          <w:b/>
          <w:sz w:val="24"/>
          <w:szCs w:val="24"/>
        </w:rPr>
        <w:t>Разработчик:</w:t>
      </w:r>
    </w:p>
    <w:p w:rsidR="00171D1D" w:rsidRPr="00171D1D" w:rsidRDefault="00171D1D" w:rsidP="00592BA7">
      <w:pPr>
        <w:jc w:val="both"/>
        <w:rPr>
          <w:rFonts w:ascii="Times New Roman" w:hAnsi="Times New Roman" w:cs="Times New Roman"/>
          <w:b/>
          <w:sz w:val="24"/>
          <w:szCs w:val="24"/>
        </w:rPr>
      </w:pPr>
      <w:r w:rsidRPr="00171D1D">
        <w:rPr>
          <w:rFonts w:ascii="Times New Roman" w:hAnsi="Times New Roman" w:cs="Times New Roman"/>
          <w:b/>
          <w:sz w:val="24"/>
          <w:szCs w:val="24"/>
        </w:rPr>
        <w:t>ИП Жеребцова М.А.</w:t>
      </w:r>
    </w:p>
    <w:p w:rsidR="00171D1D" w:rsidRPr="00171D1D" w:rsidRDefault="00171D1D" w:rsidP="00592BA7">
      <w:pPr>
        <w:jc w:val="both"/>
        <w:rPr>
          <w:rFonts w:ascii="Times New Roman" w:hAnsi="Times New Roman" w:cs="Times New Roman"/>
          <w:sz w:val="24"/>
          <w:szCs w:val="24"/>
        </w:rPr>
      </w:pPr>
      <w:r w:rsidRPr="00171D1D">
        <w:rPr>
          <w:rFonts w:ascii="Times New Roman" w:hAnsi="Times New Roman" w:cs="Times New Roman"/>
          <w:sz w:val="24"/>
          <w:szCs w:val="24"/>
        </w:rPr>
        <w:t>Юридический адрес: 355047, Ставропольский край, г</w:t>
      </w:r>
      <w:proofErr w:type="gramStart"/>
      <w:r w:rsidRPr="00171D1D">
        <w:rPr>
          <w:rFonts w:ascii="Times New Roman" w:hAnsi="Times New Roman" w:cs="Times New Roman"/>
          <w:sz w:val="24"/>
          <w:szCs w:val="24"/>
        </w:rPr>
        <w:t>.С</w:t>
      </w:r>
      <w:proofErr w:type="gramEnd"/>
      <w:r w:rsidRPr="00171D1D">
        <w:rPr>
          <w:rFonts w:ascii="Times New Roman" w:hAnsi="Times New Roman" w:cs="Times New Roman"/>
          <w:sz w:val="24"/>
          <w:szCs w:val="24"/>
        </w:rPr>
        <w:t>таврополь, пр-к Кулакова, д.65 к1</w:t>
      </w:r>
    </w:p>
    <w:p w:rsidR="00171D1D" w:rsidRPr="00171D1D" w:rsidRDefault="00171D1D" w:rsidP="00592BA7">
      <w:pPr>
        <w:jc w:val="both"/>
        <w:rPr>
          <w:rFonts w:ascii="Times New Roman" w:hAnsi="Times New Roman" w:cs="Times New Roman"/>
          <w:sz w:val="24"/>
          <w:szCs w:val="24"/>
        </w:rPr>
      </w:pPr>
      <w:r w:rsidRPr="00171D1D">
        <w:rPr>
          <w:rFonts w:ascii="Times New Roman" w:hAnsi="Times New Roman" w:cs="Times New Roman"/>
          <w:sz w:val="24"/>
          <w:szCs w:val="24"/>
        </w:rPr>
        <w:t>Фактический адрес: 355047, Ставропольский край, г</w:t>
      </w:r>
      <w:proofErr w:type="gramStart"/>
      <w:r w:rsidRPr="00171D1D">
        <w:rPr>
          <w:rFonts w:ascii="Times New Roman" w:hAnsi="Times New Roman" w:cs="Times New Roman"/>
          <w:sz w:val="24"/>
          <w:szCs w:val="24"/>
        </w:rPr>
        <w:t>.С</w:t>
      </w:r>
      <w:proofErr w:type="gramEnd"/>
      <w:r w:rsidRPr="00171D1D">
        <w:rPr>
          <w:rFonts w:ascii="Times New Roman" w:hAnsi="Times New Roman" w:cs="Times New Roman"/>
          <w:sz w:val="24"/>
          <w:szCs w:val="24"/>
        </w:rPr>
        <w:t>таврополь, пр-к Кулакова, д.65 к1</w:t>
      </w:r>
    </w:p>
    <w:p w:rsidR="00171D1D" w:rsidRPr="00171D1D" w:rsidRDefault="00171D1D" w:rsidP="00592BA7">
      <w:pPr>
        <w:jc w:val="both"/>
        <w:rPr>
          <w:rFonts w:ascii="Times New Roman" w:hAnsi="Times New Roman" w:cs="Times New Roman"/>
          <w:sz w:val="24"/>
          <w:szCs w:val="24"/>
        </w:rPr>
      </w:pPr>
      <w:r w:rsidRPr="00171D1D">
        <w:rPr>
          <w:rFonts w:ascii="Times New Roman" w:hAnsi="Times New Roman" w:cs="Times New Roman"/>
          <w:sz w:val="24"/>
          <w:szCs w:val="24"/>
        </w:rPr>
        <w:t xml:space="preserve">Контакты: </w:t>
      </w:r>
    </w:p>
    <w:p w:rsidR="00171D1D" w:rsidRPr="00171D1D" w:rsidRDefault="00171D1D" w:rsidP="00592BA7">
      <w:pPr>
        <w:jc w:val="both"/>
        <w:rPr>
          <w:rFonts w:ascii="Times New Roman" w:hAnsi="Times New Roman" w:cs="Times New Roman"/>
          <w:sz w:val="24"/>
          <w:szCs w:val="24"/>
        </w:rPr>
      </w:pPr>
      <w:r w:rsidRPr="00171D1D">
        <w:rPr>
          <w:rFonts w:ascii="Times New Roman" w:hAnsi="Times New Roman" w:cs="Times New Roman"/>
          <w:sz w:val="24"/>
          <w:szCs w:val="24"/>
        </w:rPr>
        <w:t>Email: ekonomikproekt@yandex.ru</w:t>
      </w:r>
    </w:p>
    <w:p w:rsidR="00171D1D" w:rsidRPr="00171D1D" w:rsidRDefault="00171D1D" w:rsidP="00592BA7">
      <w:pPr>
        <w:jc w:val="both"/>
        <w:rPr>
          <w:rFonts w:ascii="Times New Roman" w:hAnsi="Times New Roman" w:cs="Times New Roman"/>
          <w:sz w:val="24"/>
          <w:szCs w:val="24"/>
        </w:rPr>
      </w:pPr>
      <w:r w:rsidRPr="00171D1D">
        <w:rPr>
          <w:rFonts w:ascii="Times New Roman" w:hAnsi="Times New Roman" w:cs="Times New Roman"/>
          <w:sz w:val="24"/>
          <w:szCs w:val="24"/>
        </w:rPr>
        <w:t>Веб-сайт: http://ekonomikproekt.ru</w:t>
      </w:r>
    </w:p>
    <w:p w:rsidR="00171D1D" w:rsidRPr="00171D1D" w:rsidRDefault="00171D1D" w:rsidP="00592BA7">
      <w:pPr>
        <w:jc w:val="both"/>
        <w:rPr>
          <w:rFonts w:ascii="Times New Roman" w:hAnsi="Times New Roman" w:cs="Times New Roman"/>
          <w:sz w:val="24"/>
          <w:szCs w:val="24"/>
        </w:rPr>
      </w:pPr>
      <w:r w:rsidRPr="00171D1D">
        <w:rPr>
          <w:rFonts w:ascii="Times New Roman" w:hAnsi="Times New Roman" w:cs="Times New Roman"/>
          <w:sz w:val="24"/>
          <w:szCs w:val="24"/>
        </w:rPr>
        <w:t>Телефон: +7 (988) 675-16-23, +7 (962) 010-50-88</w:t>
      </w:r>
    </w:p>
    <w:p w:rsidR="00171D1D" w:rsidRPr="00592BA7" w:rsidRDefault="00171D1D" w:rsidP="00592BA7">
      <w:pPr>
        <w:jc w:val="both"/>
        <w:rPr>
          <w:rFonts w:ascii="Times New Roman" w:hAnsi="Times New Roman" w:cs="Times New Roman"/>
          <w:sz w:val="24"/>
          <w:szCs w:val="24"/>
        </w:rPr>
      </w:pPr>
      <w:r w:rsidRPr="00171D1D">
        <w:rPr>
          <w:rFonts w:ascii="Times New Roman" w:hAnsi="Times New Roman" w:cs="Times New Roman"/>
          <w:sz w:val="24"/>
          <w:szCs w:val="24"/>
        </w:rPr>
        <w:t>_______________Жеребцова М.А.</w:t>
      </w:r>
    </w:p>
    <w:p w:rsidR="00171D1D" w:rsidRPr="00171D1D" w:rsidRDefault="00171D1D" w:rsidP="00171D1D">
      <w:r w:rsidRPr="00171D1D">
        <w:br w:type="page"/>
      </w:r>
    </w:p>
    <w:p w:rsidR="00171D1D" w:rsidRPr="00592BA7" w:rsidRDefault="00171D1D" w:rsidP="00592BA7">
      <w:pPr>
        <w:jc w:val="both"/>
        <w:rPr>
          <w:rFonts w:ascii="Times New Roman" w:hAnsi="Times New Roman" w:cs="Times New Roman"/>
          <w:sz w:val="20"/>
          <w:szCs w:val="20"/>
        </w:rPr>
      </w:pPr>
      <w:bookmarkStart w:id="1" w:name="_Toc165540650"/>
      <w:r w:rsidRPr="00592BA7">
        <w:rPr>
          <w:rFonts w:ascii="Times New Roman" w:hAnsi="Times New Roman" w:cs="Times New Roman"/>
          <w:sz w:val="20"/>
          <w:szCs w:val="20"/>
        </w:rPr>
        <w:lastRenderedPageBreak/>
        <w:t>СОДЕРЖАНИЕ</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Раздел 1 Перспективные показатели развития муниципального образования……………………………..6</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1.1.</w:t>
      </w:r>
      <w:r w:rsidRPr="00592BA7">
        <w:rPr>
          <w:rFonts w:ascii="Times New Roman" w:hAnsi="Times New Roman" w:cs="Times New Roman"/>
          <w:sz w:val="20"/>
          <w:szCs w:val="20"/>
        </w:rPr>
        <w:tab/>
        <w:t>Характеристика муниципального образования с краткой характеристикой………………….……6</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1.2.</w:t>
      </w:r>
      <w:r w:rsidRPr="00592BA7">
        <w:rPr>
          <w:rFonts w:ascii="Times New Roman" w:hAnsi="Times New Roman" w:cs="Times New Roman"/>
          <w:sz w:val="20"/>
          <w:szCs w:val="20"/>
        </w:rPr>
        <w:tab/>
        <w:t>Прогноз численности и состава населения……………………………………………………....…...9</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1.3.</w:t>
      </w:r>
      <w:r w:rsidRPr="00592BA7">
        <w:rPr>
          <w:rFonts w:ascii="Times New Roman" w:hAnsi="Times New Roman" w:cs="Times New Roman"/>
          <w:sz w:val="20"/>
          <w:szCs w:val="20"/>
        </w:rPr>
        <w:tab/>
        <w:t>Прогноз развития промышленности……………………………………………………………..…...9</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1.4.</w:t>
      </w:r>
      <w:r w:rsidRPr="00592BA7">
        <w:rPr>
          <w:rFonts w:ascii="Times New Roman" w:hAnsi="Times New Roman" w:cs="Times New Roman"/>
          <w:sz w:val="20"/>
          <w:szCs w:val="20"/>
        </w:rPr>
        <w:tab/>
        <w:t>Прогноз развития застройки муниципального образования…………………………………….….9</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1.5.</w:t>
      </w:r>
      <w:r w:rsidRPr="00592BA7">
        <w:rPr>
          <w:rFonts w:ascii="Times New Roman" w:hAnsi="Times New Roman" w:cs="Times New Roman"/>
          <w:sz w:val="20"/>
          <w:szCs w:val="20"/>
        </w:rPr>
        <w:tab/>
        <w:t>Прогноз изменения доходов населения…………………………………………………………..…10</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Раздел 2 Перспективные показатели спроса на коммунальные ресурсы…………………………………..10</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Раздел 3 Характеристика состояния и проблем коммунальной инфраструктуры…………………………10</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3.1. Система электроснабжения………………………………………………………………………...…10</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3.1.1. Описание организационной структуры, формы собственности и системы договоров между организациями, а также с потребителями……………………………………………………………………10</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3.1.2. Анализ существующего технического состояния системы электроснабжения…………………11</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3.1.2.1. Анализ эффективности и надежности имеющихся источников электроснабжения…………..11</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3.1.2.2. Анализ эффективности и надежности имеющихся сетей, имеющиеся проблемы и направления их решения…………</w:t>
      </w:r>
      <w:r w:rsidR="00592BA7" w:rsidRPr="00592BA7">
        <w:rPr>
          <w:rFonts w:ascii="Times New Roman" w:hAnsi="Times New Roman" w:cs="Times New Roman"/>
          <w:sz w:val="20"/>
          <w:szCs w:val="20"/>
        </w:rPr>
        <w:t>…………………………………………………………………………</w:t>
      </w:r>
      <w:r w:rsidRPr="00592BA7">
        <w:rPr>
          <w:rFonts w:ascii="Times New Roman" w:hAnsi="Times New Roman" w:cs="Times New Roman"/>
          <w:sz w:val="20"/>
          <w:szCs w:val="20"/>
        </w:rPr>
        <w:t>……..12</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3.1.2.3. Анализ зон действия источников электроснабжения и их рациональности, имеющиеся проблемы и направления их решения………………………………………………………………………..13</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3.1.2.4. Анализ имеющихся резервов и дефицитов мощности в системе электроснабжения и ожидаемых резервов, и дефицитов…………………………………………………………………………...13</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3.1.2.5. Анализ показателей готовности системы электроснабжения, имеющиеся проблемы и направления их решения……………………………………………………………………………………...13</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3.1.2.6. Воздействие на окружающую среду, имеющиеся проблемы и направления их решения……13</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3.1.3. Анализ финансового состояния организаций коммунального комплекса, тарифов на коммунальные ресурсы, платежей и задолженности потребителей за предоставленные ресурсы………14</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3.2. Система теплоснабжения……………………………………………………………………………..20</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3.2.1. Описание организационной структуры, формы собственности и системы договоров между организациями, а также с потребителями……………………………………………………………………20</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3.2.2. Анализ существующего технического состояния системы теплоснабжения……………………20</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3.2.2.1. Анализ эффективности и надежности имеющихся источников теплоснабжения…………….20</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3.2.2.2. Анализ эффективности и надежности имеющихся сетей, имеющиеся проблемы и направления их решения……………………………………………………………………………………………………..22</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3.2.2.3. Анализ зон действия источников теплоснабжения и их рациональности, имеющиеся проблемы и направления их решения………………………………………………………………………..25</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3.2.2.4. Анализ имеющихся резервов и дефицитов мощности в системе теплоснабжения и ожидаемых резервов, и дефицитов……………………………………………………………………………………...…25</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3.2.2.5. Анализ показателей готовности системы теплоснабжения, имеющиеся проблемы и направления их решения……………………………………………………………………………………...26</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3.2.2.6. Воздействие на окружающую среду, имеющиеся проблемы и направления их решения……26</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3.2.3. Анализ финансового состояния организаций коммунального комплекса, тарифов на коммунальные ресурсы……………………………………………………………………………………….26</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3.3. Система газоснабжения……………………………………………………………………………….27</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3.3.1. Описание организационной структуры, формы собственности и системы договоров между организациями, а также с потребителями…………………………………………………………………....27</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3.3.2. Анализ существующего технического состояния системы газоснабжения……………………..28</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3.3.2.1. Анализ эффективности и надежности имеющихся источников газоснабжения………………28</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3.3.2.2. Анализ эффективности и надежности имеющихся сетей, имеющиеся проблемы и направления их решения……………………………………………………………………………………………………..29</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3.3.2.3. Анализ зон действия источников газоснабжения и их рациональности, имеющиеся проблемы и направления их решения…………………………………………………………………………………....30</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3.3.2.4. Анализ имеющихся резервов и дефицитов мощности в системе газоснабжения и ожидаемых резервов, и дефицитов………………………………………………………………………………………...30</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3.3.2.5. Анализ показателей готовности системы газоснабжения, имеющиеся проблемы и направления их решения………………………………………………………………………………...……30</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3.3.2.6. Воздействие на окружающую среду, имеющиеся проблемы и направления их решения……31</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3.3.3. Анализ финансового состояния организаций коммунального комплекса, тарифов на коммунальные ресурсы……………………………………………………………………………………… 31</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3.4. Система водоснабжения………………………………………………………………………………33</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3.4.1. Описание организационной структуры, формы собственности и системы договоров между организациями, а также с потребителями……………………………………………………………………33</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3.4.2. Анализ существующего технического состояния системы водоснабжения…………………….35</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3.4.2.1. Анализ эффективности и надежности имеющихся источников водоснабжения……………..35</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3.4.2.2. Анализ эффективности и надежности имеющихся сетей, имеющиеся проблемы и направления их решения……………………………………………………………………………………………………..37</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3.4.2.3. Анализ зон действия источников водоснабжения и их рациональности, имеющиеся проблемы и направления их решения……………………………………………………………………………………40</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3.4.2.4. Анализ имеющихся резервов и дефицитов мощности в системе водоснабжения и ожидаемых резервов, и дефицитов………………………………………………………………………………………...40</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3.4.2.5. Анализ показателей готовности системы водоснабжения, имеющиеся проблемы и направления их решения……………………………………………………………………………………...40</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3.4.2.6. Воздействие на окружающую среду, имеющиеся проблемы и направления их решения……41</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3.4.3. Анализ финансового состояния организаций коммунального комплекса, тарифов на коммунальные ресурсы……………………………………………………………………………………….41</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3.5. Система водоотведения……………………………………………………………………………….42</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3.5.1. Описание организационной структуры, формы собственности и системы договоров между организациями, а также с потребителями……………………………………………………………………42</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3.5.2. Анализ существующего технического состояния системы водоотведения……………………..43</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3.5.2.1. Анализ эффективности и надежности имеющихся источников водоотведения………………43</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3.5.2.2. Анализ эффективности и надежности имеющихся сетей, имеющиеся проблемы и направления их решения……………………………………………………………………………………………………..44</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3.5.2.3. Анализ зон действия объектов водоотведения и их рациональности, имеющиеся проблемы и направления их решения……………………………………………………………………………………...45</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3.5.2.4. Анализ имеющихся резервов и дефицитов мощности в системе водоотведения и ожидаемых резервов, и дефицитов………………………………………………………………………………………...46</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3.4.2.5. Анализ показателей готовности системы водоотведения, имеющиеся проблемы и направления их решения……………………………………………………………………………………………………..47</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3.4.2.6. Воздействие на окружающую среду, имеющиеся проблемы и направления их решения……47</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3.4.3. Анализ финансового состояния организаций коммунального комплекса, тарифов на коммунальные ресурсы……………………………………………………………………………………….47</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3.6. Система по обращению твердых коммунальных отходов………………………………………….48</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3.6.1. Описание организационной структуры, формы собственности и системы договоров между организациями, а также с потребителями……………………………………………………………………48</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3.6.2. Анализ существующего технического состояния системы по обращению твердых коммунальных отходов……………………………………………………………………………………….48</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3.6.3. Анализ эффективности и надежности имеющихся объектов по обращению твердых коммунальных отходов……………………………………………………………………………………….49</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3.6.2.2. Анализ зон действия объектов по обращению твердых коммунальных отходов и их рациональности, имеющиеся проблемы и направления их решения………………………………………49</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3.6.2.3. Анализ имеющихся резервов и дефицитов мощности в системе по обращению твердых коммунальных отходов и ожидаемых резервов, и дефицитов……………………………………………..49</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3.6.2.4. Воздействие на окружающую среду, имеющиеся проблемы и направления их решения……49</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3.6.3.Анализ финансового состояния организаций коммунального комплекса, тарифов на коммунальные ресурсы, платежей и задолженности потребителей за предоставленные ресурсы……...50</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Раздел 4 Характеристика состояния и проблем в реализации энергоресурсосбережения и учета и сбора информации……………………………………………………………………………………………………50</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4.1. Анализ состояния энергоресурсосбережения в муниципальном округе………………………….50</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4.2. Анализ состояния учета потребления ресурсов, используемых приборов учета и программно-аппаратных комплексов………………………………………………………………………………………53</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Раздел 5 Целевые показатели развития коммунальной инфраструктуры………………………………….55</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Раздел 6 Перспективная схема электроснабжения муниципального образования………………………..70</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Раздел 7 Перспективная схема теплоснабжения муниципального образования………………………….70</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Раздел 8 Перспективная схема газоснабжения муниципального образования……………………………70</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Раздел 9 Перспективная схема водоснабжения муниципального образования……………………………71</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Раздел 10 Перспективная схема водоотведения муниципального образования…………………………...71</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Раздел 11 Перспективная схема обращения с твердыми коммунальными отходами муниципального образования……………………………………………………………………………………………………71</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Раздел 12 Общая программа проектов……………………………………………………………………….73</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Раздел 13 Финансовые потребности для реализации программы………………………………………….78</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13.1. Совокупные потребности в капитальных вложениях для реализации всей программы инвестиционных проектов……………………………………………………………………………………78</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13.2. Величина изменения совокупных эксплуатационных затрат………………………………..….106</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Раздел 14 Организация реализации проектов………………………………………………………..…….106</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Раздел 15 Программы инвестиционных проектов, тариф и плата (тариф) за подключение (присоединение)………………………………………………………………………………………..…….107</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15.1. Формирование проектов…………………………………………………………………..………..107</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15.2. Обоснование источников финансирования………………………………………………..……..118</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15.3. Оценка совокупных инвестиционных и эксплуатационных затрат по каждой организации коммунального комплекса………………………………………………………………………………..…118</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15.4. Оценка уровней тарифов на каждый коммунальный ресурс……………………………………..118</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Раздел 16 Прогноз расходов населения на коммунальные ресурсы, расходов бюджета на социальную поддержку и субсидии, проверка доступности тарифов на коммунальные услуги………………………118</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16.1. Расчет прогнозного совокупного платежа населения муниципального образования за коммунальные ресурсы на основе прогноза спроса с учетом энергоресурсосбережения и тарифов (платы (тарифа) за подключение (присоединение)) без учета льгот и субсидий…………………………………119</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16.2. Сопоставление прогнозного совокупного платежа населения за коммунальные ресурсы с прогнозами доходов населения……………………………………………………………………………...120</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16.3. Проверка доступности тарифов на коммунальные услуги для населения………………………121</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Раздел 17 Модель для расчета программы…………………………………………………………………123</w:t>
      </w:r>
    </w:p>
    <w:bookmarkEnd w:id="1"/>
    <w:p w:rsidR="00171D1D" w:rsidRPr="00592BA7" w:rsidRDefault="00171D1D" w:rsidP="00592BA7">
      <w:pPr>
        <w:jc w:val="both"/>
        <w:rPr>
          <w:rFonts w:ascii="Times New Roman" w:hAnsi="Times New Roman" w:cs="Times New Roman"/>
          <w:sz w:val="20"/>
          <w:szCs w:val="20"/>
        </w:rPr>
      </w:pP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br w:type="page"/>
      </w:r>
      <w:r w:rsidRPr="00592BA7">
        <w:rPr>
          <w:rFonts w:ascii="Times New Roman" w:hAnsi="Times New Roman" w:cs="Times New Roman"/>
          <w:sz w:val="20"/>
          <w:szCs w:val="20"/>
        </w:rPr>
        <w:lastRenderedPageBreak/>
        <w:t>Раздел 1 Перспективные показатели развития муниципального образования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1.1.</w:t>
      </w:r>
      <w:r w:rsidRPr="00592BA7">
        <w:rPr>
          <w:rFonts w:ascii="Times New Roman" w:hAnsi="Times New Roman" w:cs="Times New Roman"/>
          <w:sz w:val="20"/>
          <w:szCs w:val="20"/>
        </w:rPr>
        <w:tab/>
        <w:t>Характеристика муниципального образования с краткой характеристикой</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Шумерлинский муниципальный округ расположен в западной части Чувашской Республики, граничит с Нижегородской областью, Красночетайским, Аликовским, Вурнарским, и Порецким районами. </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Районный центр - г. Шумерля находится в 110 км от столицы Чувашской Республики – города Чебоксары. В округе 57 населенных пунктов, 11 сельских поселений. </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В Шумерлинском муниципальном округе пересекаются зоны таежных и широколиственных лесов, образовывая местами смешанные леса. К тому же по р. Суре к ним примыкает степная зона. Это и обусловило разнообразие природы в муниципальном округе. Территория округа составляет 104,7 тыс. га, из которых:</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земли лесного фонда 70,8 тыс. га;</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земли сельскохозяйственного назначения 28,2 тыс. га;</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земли населенных пунктов 3,9 тыс. га;</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земли промышленности и иного специального назначения 0,7 тыс. га;</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земли водного фонда 0,31 тыс. га;</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 земли особо охраняемых территорий 0,008 тыс. га. </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На территории округа имеются значительные запасы песка, глины, торфа. Гидрогеологические условия сложные. Обеспеченность территории подземными водами не одинаковая. Наиболее обеспечена территория в пределах долины р. Суры. Остальная территория округа плохо обеспечена подземными водами. Шумерлинский муниципальный округ пересекает двухпутная электрифицированная железнодорожная магистраль Москва-Казань-Екатеринбург.</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Административно-территориальное устройство.</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Границы Шумерлинского муниципального округа установлены в соответствии с Законом Чувашской Республики от 24.11.2004 № 37 "Об установлении границ муниципальных образований Чувашской Республики и наделении их статусом городского, сельского поселения, муниципального района и городского округа".</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В состав территории Шумерлинского муниципального округа Чувашской Республики входят 57 населенных пунктов, не являющихся муниципальными образованиями, в соответствии с Законом Чувашской Республики от 24 ноября 2004 г. № 37 «Об установлении границ муниципальных образований Чувашской Республики и наделении их статусом городского, сельского поселения, муниципального района, муниципального и городского округа»:</w:t>
      </w:r>
      <w:r w:rsidRPr="00592BA7">
        <w:rPr>
          <w:rFonts w:ascii="Times New Roman" w:hAnsi="Times New Roman" w:cs="Times New Roman"/>
          <w:sz w:val="20"/>
          <w:szCs w:val="20"/>
        </w:rPr>
        <w:tab/>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r w:rsidRPr="00592BA7">
        <w:rPr>
          <w:rFonts w:ascii="Times New Roman" w:hAnsi="Times New Roman" w:cs="Times New Roman"/>
          <w:sz w:val="20"/>
          <w:szCs w:val="20"/>
        </w:rPr>
        <w:tab/>
        <w:t>село Большие Алгаши, выселок Ахмасиха, поселки Дубовка, Кабаново, Подборное, входящие в состав административно-территориальной единицы Большеалгашинское сельское поселение;</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r w:rsidRPr="00592BA7">
        <w:rPr>
          <w:rFonts w:ascii="Times New Roman" w:hAnsi="Times New Roman" w:cs="Times New Roman"/>
          <w:sz w:val="20"/>
          <w:szCs w:val="20"/>
        </w:rPr>
        <w:tab/>
        <w:t>деревни Егоркино, Пояндайкино, Савадеркино, поселки Малиновка, Яхайкино, входящие в состав административно-территориальной единицы Егоркинское сельское поселение;</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r w:rsidRPr="00592BA7">
        <w:rPr>
          <w:rFonts w:ascii="Times New Roman" w:hAnsi="Times New Roman" w:cs="Times New Roman"/>
          <w:sz w:val="20"/>
          <w:szCs w:val="20"/>
        </w:rPr>
        <w:tab/>
        <w:t>поселки Красный Октябрь, Коминтерн, Красная Звезда, Красный Атмал, Мыслец, Путь Ленина, разъезд Пинеры, входящие в состав административно-территориальной единицы Краснооктябрьское сельское поселение;</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r w:rsidRPr="00592BA7">
        <w:rPr>
          <w:rFonts w:ascii="Times New Roman" w:hAnsi="Times New Roman" w:cs="Times New Roman"/>
          <w:sz w:val="20"/>
          <w:szCs w:val="20"/>
        </w:rPr>
        <w:tab/>
        <w:t>деревни Верхний Магарин, Егоркино, Нижний Магарин, Петропавловск, поселки Автобус, Комар, Покровское, Полярная Звезда, Саланчик, Триер, входящие в состав административно-территориальной единицы Магаринское сельское поселение;</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w:t>
      </w:r>
      <w:r w:rsidRPr="00592BA7">
        <w:rPr>
          <w:rFonts w:ascii="Times New Roman" w:hAnsi="Times New Roman" w:cs="Times New Roman"/>
          <w:sz w:val="20"/>
          <w:szCs w:val="20"/>
        </w:rPr>
        <w:tab/>
        <w:t>село Нижняя Кумашка, деревня Верхняя Кумашка, поселки Волга, Ульяновское, разъезд Кумашка, входящие в состав административно-территориальной единицы Нижнекумашкинское сельское поселение;</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r w:rsidRPr="00592BA7">
        <w:rPr>
          <w:rFonts w:ascii="Times New Roman" w:hAnsi="Times New Roman" w:cs="Times New Roman"/>
          <w:sz w:val="20"/>
          <w:szCs w:val="20"/>
        </w:rPr>
        <w:tab/>
        <w:t>село Русские Алгаши, деревня Чувашские Алгаши, поселок Речной, входящие в состав административно-территориальной единицы Русско-Алгашинское сельское поселение;</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r w:rsidRPr="00592BA7">
        <w:rPr>
          <w:rFonts w:ascii="Times New Roman" w:hAnsi="Times New Roman" w:cs="Times New Roman"/>
          <w:sz w:val="20"/>
          <w:szCs w:val="20"/>
        </w:rPr>
        <w:tab/>
        <w:t>деревни Торханы, Бреняши, Молгачкино, Мыслец, Синькасы, Чертаганы, входящие в состав административно-территориальной единицы Торханское сельское поселение;</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r w:rsidRPr="00592BA7">
        <w:rPr>
          <w:rFonts w:ascii="Times New Roman" w:hAnsi="Times New Roman" w:cs="Times New Roman"/>
          <w:sz w:val="20"/>
          <w:szCs w:val="20"/>
        </w:rPr>
        <w:tab/>
        <w:t>село Туваны, деревни Калиновка, Лесные Туваны, Малые Туваны, входящие в состав административно-территориальной единицы Туванское сельское поселение;</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r w:rsidRPr="00592BA7">
        <w:rPr>
          <w:rFonts w:ascii="Times New Roman" w:hAnsi="Times New Roman" w:cs="Times New Roman"/>
          <w:sz w:val="20"/>
          <w:szCs w:val="20"/>
        </w:rPr>
        <w:tab/>
        <w:t>село Ходары, деревни Пилешкасы, Тугасы, Яндаши, входящие в состав административно-территориальной единицы Ходарское сельское поселение;</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r w:rsidRPr="00592BA7">
        <w:rPr>
          <w:rFonts w:ascii="Times New Roman" w:hAnsi="Times New Roman" w:cs="Times New Roman"/>
          <w:sz w:val="20"/>
          <w:szCs w:val="20"/>
        </w:rPr>
        <w:tab/>
        <w:t>деревня Шумерля, входящая в состав административно-территориальной единицы Шумерлинское сельское поселение;</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r w:rsidRPr="00592BA7">
        <w:rPr>
          <w:rFonts w:ascii="Times New Roman" w:hAnsi="Times New Roman" w:cs="Times New Roman"/>
          <w:sz w:val="20"/>
          <w:szCs w:val="20"/>
        </w:rPr>
        <w:tab/>
        <w:t xml:space="preserve">село Юманай, деревни Вторые Ялдры, Кадеркино, </w:t>
      </w:r>
      <w:proofErr w:type="gramStart"/>
      <w:r w:rsidRPr="00592BA7">
        <w:rPr>
          <w:rFonts w:ascii="Times New Roman" w:hAnsi="Times New Roman" w:cs="Times New Roman"/>
          <w:sz w:val="20"/>
          <w:szCs w:val="20"/>
        </w:rPr>
        <w:t>Луговая</w:t>
      </w:r>
      <w:proofErr w:type="gramEnd"/>
      <w:r w:rsidRPr="00592BA7">
        <w:rPr>
          <w:rFonts w:ascii="Times New Roman" w:hAnsi="Times New Roman" w:cs="Times New Roman"/>
          <w:sz w:val="20"/>
          <w:szCs w:val="20"/>
        </w:rPr>
        <w:t>, Пюкрей, Тарн-Сирма, Эшменейкино, входящие в состав административно-территориальной единицы Юманайское сельское поселение.</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Климатическая характеристика.</w:t>
      </w:r>
    </w:p>
    <w:p w:rsidR="00171D1D" w:rsidRPr="00592BA7" w:rsidRDefault="00171D1D" w:rsidP="00592BA7">
      <w:pPr>
        <w:jc w:val="both"/>
        <w:rPr>
          <w:rFonts w:ascii="Times New Roman" w:hAnsi="Times New Roman" w:cs="Times New Roman"/>
          <w:sz w:val="20"/>
          <w:szCs w:val="20"/>
          <w:lang w:bidi="ru-RU"/>
        </w:rPr>
      </w:pPr>
      <w:r w:rsidRPr="00592BA7">
        <w:rPr>
          <w:rFonts w:ascii="Times New Roman" w:hAnsi="Times New Roman" w:cs="Times New Roman"/>
          <w:sz w:val="20"/>
          <w:szCs w:val="20"/>
          <w:lang w:bidi="ru-RU"/>
        </w:rPr>
        <w:t xml:space="preserve">Климат Шумерлинского муниципального округа умеренно-континентальный с продолжительной холодной зимой и теплым, иногда жарким летом. Среднегодовая температура воздуха </w:t>
      </w:r>
      <w:proofErr w:type="gramStart"/>
      <w:r w:rsidRPr="00592BA7">
        <w:rPr>
          <w:rFonts w:ascii="Times New Roman" w:hAnsi="Times New Roman" w:cs="Times New Roman"/>
          <w:sz w:val="20"/>
          <w:szCs w:val="20"/>
          <w:lang w:bidi="ru-RU"/>
        </w:rPr>
        <w:t>равна +3,4˚С. Амплитуда колебаний температуры воздуха довольно велика</w:t>
      </w:r>
      <w:proofErr w:type="gramEnd"/>
      <w:r w:rsidRPr="00592BA7">
        <w:rPr>
          <w:rFonts w:ascii="Times New Roman" w:hAnsi="Times New Roman" w:cs="Times New Roman"/>
          <w:sz w:val="20"/>
          <w:szCs w:val="20"/>
          <w:lang w:bidi="ru-RU"/>
        </w:rPr>
        <w:t>. Среднемесячная температура января, самого холодного месяца, составляет –12,2</w:t>
      </w:r>
      <w:proofErr w:type="gramStart"/>
      <w:r w:rsidRPr="00592BA7">
        <w:rPr>
          <w:rFonts w:ascii="Times New Roman" w:hAnsi="Times New Roman" w:cs="Times New Roman"/>
          <w:sz w:val="20"/>
          <w:szCs w:val="20"/>
          <w:lang w:bidi="ru-RU"/>
        </w:rPr>
        <w:t>˚С</w:t>
      </w:r>
      <w:proofErr w:type="gramEnd"/>
      <w:r w:rsidRPr="00592BA7">
        <w:rPr>
          <w:rFonts w:ascii="Times New Roman" w:hAnsi="Times New Roman" w:cs="Times New Roman"/>
          <w:sz w:val="20"/>
          <w:szCs w:val="20"/>
          <w:lang w:bidi="ru-RU"/>
        </w:rPr>
        <w:t>, а июля, самого жаркого 18,7˚С.</w:t>
      </w:r>
    </w:p>
    <w:p w:rsidR="00171D1D" w:rsidRPr="00592BA7" w:rsidRDefault="00171D1D" w:rsidP="00592BA7">
      <w:pPr>
        <w:jc w:val="both"/>
        <w:rPr>
          <w:rFonts w:ascii="Times New Roman" w:hAnsi="Times New Roman" w:cs="Times New Roman"/>
          <w:sz w:val="20"/>
          <w:szCs w:val="20"/>
          <w:lang w:bidi="ru-RU"/>
        </w:rPr>
      </w:pPr>
      <w:r w:rsidRPr="00592BA7">
        <w:rPr>
          <w:rFonts w:ascii="Times New Roman" w:hAnsi="Times New Roman" w:cs="Times New Roman"/>
          <w:sz w:val="20"/>
          <w:szCs w:val="20"/>
          <w:lang w:bidi="ru-RU"/>
        </w:rPr>
        <w:t>Абсолютный минимум температуры достигает -44˚С.</w:t>
      </w:r>
    </w:p>
    <w:p w:rsidR="00171D1D" w:rsidRPr="00592BA7" w:rsidRDefault="00171D1D" w:rsidP="00592BA7">
      <w:pPr>
        <w:jc w:val="both"/>
        <w:rPr>
          <w:rFonts w:ascii="Times New Roman" w:hAnsi="Times New Roman" w:cs="Times New Roman"/>
          <w:sz w:val="20"/>
          <w:szCs w:val="20"/>
          <w:lang w:bidi="ru-RU"/>
        </w:rPr>
      </w:pPr>
      <w:r w:rsidRPr="00592BA7">
        <w:rPr>
          <w:rFonts w:ascii="Times New Roman" w:hAnsi="Times New Roman" w:cs="Times New Roman"/>
          <w:sz w:val="20"/>
          <w:szCs w:val="20"/>
          <w:lang w:bidi="ru-RU"/>
        </w:rPr>
        <w:t>Абсолютный максимум составляет +37˚С.</w:t>
      </w:r>
    </w:p>
    <w:p w:rsidR="00171D1D" w:rsidRPr="00592BA7" w:rsidRDefault="00171D1D" w:rsidP="00592BA7">
      <w:pPr>
        <w:jc w:val="both"/>
        <w:rPr>
          <w:rFonts w:ascii="Times New Roman" w:hAnsi="Times New Roman" w:cs="Times New Roman"/>
          <w:sz w:val="20"/>
          <w:szCs w:val="20"/>
          <w:lang w:bidi="ru-RU"/>
        </w:rPr>
      </w:pPr>
      <w:r w:rsidRPr="00592BA7">
        <w:rPr>
          <w:rFonts w:ascii="Times New Roman" w:hAnsi="Times New Roman" w:cs="Times New Roman"/>
          <w:sz w:val="20"/>
          <w:szCs w:val="20"/>
          <w:lang w:bidi="ru-RU"/>
        </w:rPr>
        <w:t>Период активной вегетации растений со среднесуточными температурами выше 10</w:t>
      </w:r>
      <w:proofErr w:type="gramStart"/>
      <w:r w:rsidRPr="00592BA7">
        <w:rPr>
          <w:rFonts w:ascii="Times New Roman" w:hAnsi="Times New Roman" w:cs="Times New Roman"/>
          <w:sz w:val="20"/>
          <w:szCs w:val="20"/>
          <w:lang w:bidi="ru-RU"/>
        </w:rPr>
        <w:t>˚С</w:t>
      </w:r>
      <w:proofErr w:type="gramEnd"/>
      <w:r w:rsidRPr="00592BA7">
        <w:rPr>
          <w:rFonts w:ascii="Times New Roman" w:hAnsi="Times New Roman" w:cs="Times New Roman"/>
          <w:sz w:val="20"/>
          <w:szCs w:val="20"/>
          <w:lang w:bidi="ru-RU"/>
        </w:rPr>
        <w:t xml:space="preserve"> длится с начала мая до середины сентября в течение 135 дней.</w:t>
      </w:r>
    </w:p>
    <w:p w:rsidR="00171D1D" w:rsidRPr="00592BA7" w:rsidRDefault="00171D1D" w:rsidP="00592BA7">
      <w:pPr>
        <w:jc w:val="both"/>
        <w:rPr>
          <w:rFonts w:ascii="Times New Roman" w:hAnsi="Times New Roman" w:cs="Times New Roman"/>
          <w:sz w:val="20"/>
          <w:szCs w:val="20"/>
          <w:lang w:bidi="ru-RU"/>
        </w:rPr>
      </w:pPr>
      <w:r w:rsidRPr="00592BA7">
        <w:rPr>
          <w:rFonts w:ascii="Times New Roman" w:hAnsi="Times New Roman" w:cs="Times New Roman"/>
          <w:sz w:val="20"/>
          <w:szCs w:val="20"/>
          <w:lang w:bidi="ru-RU"/>
        </w:rPr>
        <w:t>Безморозный период длится 136 дней. Первый заморозок в среднем отмечается – 24 сентября, последний – 10 мая.</w:t>
      </w:r>
    </w:p>
    <w:p w:rsidR="00171D1D" w:rsidRPr="00592BA7" w:rsidRDefault="00171D1D" w:rsidP="00592BA7">
      <w:pPr>
        <w:jc w:val="both"/>
        <w:rPr>
          <w:rFonts w:ascii="Times New Roman" w:hAnsi="Times New Roman" w:cs="Times New Roman"/>
          <w:sz w:val="20"/>
          <w:szCs w:val="20"/>
          <w:lang w:bidi="ru-RU"/>
        </w:rPr>
      </w:pPr>
      <w:r w:rsidRPr="00592BA7">
        <w:rPr>
          <w:rFonts w:ascii="Times New Roman" w:hAnsi="Times New Roman" w:cs="Times New Roman"/>
          <w:sz w:val="20"/>
          <w:szCs w:val="20"/>
          <w:lang w:bidi="ru-RU"/>
        </w:rPr>
        <w:t xml:space="preserve">За год среднее количество осадков составляет </w:t>
      </w:r>
      <w:smartTag w:uri="urn:schemas-microsoft-com:office:smarttags" w:element="metricconverter">
        <w:smartTagPr>
          <w:attr w:name="ProductID" w:val="492 мм"/>
        </w:smartTagPr>
        <w:r w:rsidRPr="00592BA7">
          <w:rPr>
            <w:rFonts w:ascii="Times New Roman" w:hAnsi="Times New Roman" w:cs="Times New Roman"/>
            <w:sz w:val="20"/>
            <w:szCs w:val="20"/>
            <w:lang w:bidi="ru-RU"/>
          </w:rPr>
          <w:t>492 мм</w:t>
        </w:r>
      </w:smartTag>
      <w:r w:rsidRPr="00592BA7">
        <w:rPr>
          <w:rFonts w:ascii="Times New Roman" w:hAnsi="Times New Roman" w:cs="Times New Roman"/>
          <w:sz w:val="20"/>
          <w:szCs w:val="20"/>
          <w:lang w:bidi="ru-RU"/>
        </w:rPr>
        <w:t>. Осадки теплого периода составляют приблизительно 70% от общего количества.</w:t>
      </w:r>
    </w:p>
    <w:p w:rsidR="00171D1D" w:rsidRPr="00592BA7" w:rsidRDefault="00171D1D" w:rsidP="00592BA7">
      <w:pPr>
        <w:jc w:val="both"/>
        <w:rPr>
          <w:rFonts w:ascii="Times New Roman" w:hAnsi="Times New Roman" w:cs="Times New Roman"/>
          <w:sz w:val="20"/>
          <w:szCs w:val="20"/>
          <w:lang w:bidi="ru-RU"/>
        </w:rPr>
      </w:pPr>
      <w:r w:rsidRPr="00592BA7">
        <w:rPr>
          <w:rFonts w:ascii="Times New Roman" w:hAnsi="Times New Roman" w:cs="Times New Roman"/>
          <w:sz w:val="20"/>
          <w:szCs w:val="20"/>
          <w:lang w:bidi="ru-RU"/>
        </w:rPr>
        <w:t xml:space="preserve">Максимум осадков отмечается в июле </w:t>
      </w:r>
      <w:smartTag w:uri="urn:schemas-microsoft-com:office:smarttags" w:element="metricconverter">
        <w:smartTagPr>
          <w:attr w:name="ProductID" w:val="62 мм"/>
        </w:smartTagPr>
        <w:r w:rsidRPr="00592BA7">
          <w:rPr>
            <w:rFonts w:ascii="Times New Roman" w:hAnsi="Times New Roman" w:cs="Times New Roman"/>
            <w:sz w:val="20"/>
            <w:szCs w:val="20"/>
            <w:lang w:bidi="ru-RU"/>
          </w:rPr>
          <w:t>62 мм</w:t>
        </w:r>
      </w:smartTag>
      <w:r w:rsidRPr="00592BA7">
        <w:rPr>
          <w:rFonts w:ascii="Times New Roman" w:hAnsi="Times New Roman" w:cs="Times New Roman"/>
          <w:sz w:val="20"/>
          <w:szCs w:val="20"/>
          <w:lang w:bidi="ru-RU"/>
        </w:rPr>
        <w:t xml:space="preserve">. Средний суточный максимум достигает </w:t>
      </w:r>
      <w:smartTag w:uri="urn:schemas-microsoft-com:office:smarttags" w:element="metricconverter">
        <w:smartTagPr>
          <w:attr w:name="ProductID" w:val="35 мм"/>
        </w:smartTagPr>
        <w:r w:rsidRPr="00592BA7">
          <w:rPr>
            <w:rFonts w:ascii="Times New Roman" w:hAnsi="Times New Roman" w:cs="Times New Roman"/>
            <w:sz w:val="20"/>
            <w:szCs w:val="20"/>
            <w:lang w:bidi="ru-RU"/>
          </w:rPr>
          <w:t>35 мм</w:t>
        </w:r>
      </w:smartTag>
      <w:r w:rsidRPr="00592BA7">
        <w:rPr>
          <w:rFonts w:ascii="Times New Roman" w:hAnsi="Times New Roman" w:cs="Times New Roman"/>
          <w:sz w:val="20"/>
          <w:szCs w:val="20"/>
          <w:lang w:bidi="ru-RU"/>
        </w:rPr>
        <w:t>.</w:t>
      </w:r>
    </w:p>
    <w:p w:rsidR="00171D1D" w:rsidRPr="00592BA7" w:rsidRDefault="00171D1D" w:rsidP="00592BA7">
      <w:pPr>
        <w:jc w:val="both"/>
        <w:rPr>
          <w:rFonts w:ascii="Times New Roman" w:hAnsi="Times New Roman" w:cs="Times New Roman"/>
          <w:sz w:val="20"/>
          <w:szCs w:val="20"/>
          <w:lang w:bidi="ru-RU"/>
        </w:rPr>
      </w:pPr>
      <w:r w:rsidRPr="00592BA7">
        <w:rPr>
          <w:rFonts w:ascii="Times New Roman" w:hAnsi="Times New Roman" w:cs="Times New Roman"/>
          <w:sz w:val="20"/>
          <w:szCs w:val="20"/>
          <w:lang w:bidi="ru-RU"/>
        </w:rPr>
        <w:t>Устойчивый снежный покров образуется в середине ноября и лежит в течение пяти месяцев. Высота снежного покрова за зиму достигает 43%.</w:t>
      </w:r>
    </w:p>
    <w:p w:rsidR="00171D1D" w:rsidRPr="00592BA7" w:rsidRDefault="00171D1D" w:rsidP="00592BA7">
      <w:pPr>
        <w:jc w:val="both"/>
        <w:rPr>
          <w:rFonts w:ascii="Times New Roman" w:hAnsi="Times New Roman" w:cs="Times New Roman"/>
          <w:sz w:val="20"/>
          <w:szCs w:val="20"/>
          <w:lang w:bidi="ru-RU"/>
        </w:rPr>
      </w:pPr>
      <w:r w:rsidRPr="00592BA7">
        <w:rPr>
          <w:rFonts w:ascii="Times New Roman" w:hAnsi="Times New Roman" w:cs="Times New Roman"/>
          <w:sz w:val="20"/>
          <w:szCs w:val="20"/>
          <w:lang w:bidi="ru-RU"/>
        </w:rPr>
        <w:t>Среднегодовое значение относительной влажности воздуха равно 77%.</w:t>
      </w:r>
    </w:p>
    <w:p w:rsidR="00171D1D" w:rsidRPr="00592BA7" w:rsidRDefault="00171D1D" w:rsidP="00592BA7">
      <w:pPr>
        <w:jc w:val="both"/>
        <w:rPr>
          <w:rFonts w:ascii="Times New Roman" w:hAnsi="Times New Roman" w:cs="Times New Roman"/>
          <w:sz w:val="20"/>
          <w:szCs w:val="20"/>
          <w:lang w:bidi="ru-RU"/>
        </w:rPr>
      </w:pPr>
      <w:r w:rsidRPr="00592BA7">
        <w:rPr>
          <w:rFonts w:ascii="Times New Roman" w:hAnsi="Times New Roman" w:cs="Times New Roman"/>
          <w:sz w:val="20"/>
          <w:szCs w:val="20"/>
          <w:lang w:bidi="ru-RU"/>
        </w:rPr>
        <w:t>Май и июнь – самые сухие месяцы, среднемесячное значение относительной влажности не превышает 65%. а в ноябре – декабре ее значение достигает 85%.</w:t>
      </w:r>
    </w:p>
    <w:p w:rsidR="00171D1D" w:rsidRPr="00592BA7" w:rsidRDefault="00171D1D" w:rsidP="00592BA7">
      <w:pPr>
        <w:jc w:val="both"/>
        <w:rPr>
          <w:rFonts w:ascii="Times New Roman" w:hAnsi="Times New Roman" w:cs="Times New Roman"/>
          <w:sz w:val="20"/>
          <w:szCs w:val="20"/>
          <w:lang w:bidi="ru-RU"/>
        </w:rPr>
      </w:pPr>
      <w:r w:rsidRPr="00592BA7">
        <w:rPr>
          <w:rFonts w:ascii="Times New Roman" w:hAnsi="Times New Roman" w:cs="Times New Roman"/>
          <w:sz w:val="20"/>
          <w:szCs w:val="20"/>
          <w:lang w:bidi="ru-RU"/>
        </w:rPr>
        <w:t xml:space="preserve">В данном </w:t>
      </w:r>
      <w:r w:rsidRPr="00592BA7">
        <w:rPr>
          <w:rFonts w:ascii="Times New Roman" w:hAnsi="Times New Roman" w:cs="Times New Roman"/>
          <w:sz w:val="20"/>
          <w:szCs w:val="20"/>
        </w:rPr>
        <w:t xml:space="preserve">Шумерлинском </w:t>
      </w:r>
      <w:r w:rsidRPr="00592BA7">
        <w:rPr>
          <w:rFonts w:ascii="Times New Roman" w:hAnsi="Times New Roman" w:cs="Times New Roman"/>
          <w:sz w:val="20"/>
          <w:szCs w:val="20"/>
          <w:lang w:bidi="ru-RU"/>
        </w:rPr>
        <w:t>муниципальном округе циклоническая деятельность является преобладающей в течение большей части года. Перемещение циклонов с запада на восток обуславливает преобладание ветров западного направления.</w:t>
      </w:r>
    </w:p>
    <w:p w:rsidR="00171D1D" w:rsidRPr="00592BA7" w:rsidRDefault="00171D1D" w:rsidP="00592BA7">
      <w:pPr>
        <w:jc w:val="both"/>
        <w:rPr>
          <w:rFonts w:ascii="Times New Roman" w:hAnsi="Times New Roman" w:cs="Times New Roman"/>
          <w:sz w:val="20"/>
          <w:szCs w:val="20"/>
          <w:lang w:bidi="ru-RU"/>
        </w:rPr>
      </w:pPr>
      <w:r w:rsidRPr="00592BA7">
        <w:rPr>
          <w:rFonts w:ascii="Times New Roman" w:hAnsi="Times New Roman" w:cs="Times New Roman"/>
          <w:sz w:val="20"/>
          <w:szCs w:val="20"/>
          <w:lang w:bidi="ru-RU"/>
        </w:rPr>
        <w:t>В холодную половину года увеличивается повторяемость юго-восточных ветров. Среднегодовая скорость ветра составляет 4,3 м/сек. Весной и осенью отмечается заметное увеличение скорости ветра.</w:t>
      </w:r>
    </w:p>
    <w:p w:rsidR="00171D1D" w:rsidRPr="00592BA7" w:rsidRDefault="00171D1D" w:rsidP="00592BA7">
      <w:pPr>
        <w:jc w:val="both"/>
        <w:rPr>
          <w:rFonts w:ascii="Times New Roman" w:hAnsi="Times New Roman" w:cs="Times New Roman"/>
          <w:sz w:val="20"/>
          <w:szCs w:val="20"/>
          <w:lang w:bidi="ru-RU"/>
        </w:rPr>
      </w:pPr>
      <w:r w:rsidRPr="00592BA7">
        <w:rPr>
          <w:rFonts w:ascii="Times New Roman" w:hAnsi="Times New Roman" w:cs="Times New Roman"/>
          <w:sz w:val="20"/>
          <w:szCs w:val="20"/>
          <w:lang w:bidi="ru-RU"/>
        </w:rPr>
        <w:t>Из неблагоприятных явлений погоды следует отметить туманы и метели, число дне которых в году соответственно составляют 23 и 25.</w:t>
      </w:r>
    </w:p>
    <w:p w:rsidR="00171D1D" w:rsidRPr="00592BA7" w:rsidRDefault="00171D1D" w:rsidP="00592BA7">
      <w:pPr>
        <w:jc w:val="both"/>
        <w:rPr>
          <w:rFonts w:ascii="Times New Roman" w:hAnsi="Times New Roman" w:cs="Times New Roman"/>
          <w:sz w:val="20"/>
          <w:szCs w:val="20"/>
          <w:lang w:bidi="ru-RU"/>
        </w:rPr>
      </w:pPr>
      <w:r w:rsidRPr="00592BA7">
        <w:rPr>
          <w:rFonts w:ascii="Times New Roman" w:hAnsi="Times New Roman" w:cs="Times New Roman"/>
          <w:sz w:val="20"/>
          <w:szCs w:val="20"/>
          <w:lang w:bidi="ru-RU"/>
        </w:rPr>
        <w:lastRenderedPageBreak/>
        <w:t xml:space="preserve">Следует также учитывать возможность возникновения засухи. Засухи отмечаются в среднем один раз </w:t>
      </w:r>
      <w:smartTag w:uri="urn:schemas-microsoft-com:office:smarttags" w:element="time">
        <w:smartTagPr>
          <w:attr w:name="Hour" w:val="15"/>
          <w:attr w:name="Minute" w:val="0"/>
        </w:smartTagPr>
        <w:r w:rsidRPr="00592BA7">
          <w:rPr>
            <w:rFonts w:ascii="Times New Roman" w:hAnsi="Times New Roman" w:cs="Times New Roman"/>
            <w:sz w:val="20"/>
            <w:szCs w:val="20"/>
            <w:lang w:bidi="ru-RU"/>
          </w:rPr>
          <w:t>в 3</w:t>
        </w:r>
      </w:smartTag>
      <w:r w:rsidRPr="00592BA7">
        <w:rPr>
          <w:rFonts w:ascii="Times New Roman" w:hAnsi="Times New Roman" w:cs="Times New Roman"/>
          <w:sz w:val="20"/>
          <w:szCs w:val="20"/>
          <w:lang w:bidi="ru-RU"/>
        </w:rPr>
        <w:t xml:space="preserve"> – 4 года.</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Гидрология.</w:t>
      </w:r>
    </w:p>
    <w:p w:rsidR="00171D1D" w:rsidRPr="00592BA7" w:rsidRDefault="00171D1D" w:rsidP="00592BA7">
      <w:pPr>
        <w:jc w:val="both"/>
        <w:rPr>
          <w:rFonts w:ascii="Times New Roman" w:hAnsi="Times New Roman" w:cs="Times New Roman"/>
          <w:sz w:val="20"/>
          <w:szCs w:val="20"/>
          <w:lang w:bidi="ru-RU"/>
        </w:rPr>
      </w:pPr>
      <w:r w:rsidRPr="00592BA7">
        <w:rPr>
          <w:rFonts w:ascii="Times New Roman" w:hAnsi="Times New Roman" w:cs="Times New Roman"/>
          <w:sz w:val="20"/>
          <w:szCs w:val="20"/>
          <w:lang w:bidi="ru-RU"/>
        </w:rPr>
        <w:t xml:space="preserve">Гидрографическая сеть Шумерлинского муниципального округа представлена </w:t>
      </w:r>
      <w:smartTag w:uri="urn:schemas-microsoft-com:office:smarttags" w:element="metricconverter">
        <w:smartTagPr>
          <w:attr w:name="ProductID" w:val="40 км"/>
        </w:smartTagPr>
        <w:r w:rsidRPr="00592BA7">
          <w:rPr>
            <w:rFonts w:ascii="Times New Roman" w:hAnsi="Times New Roman" w:cs="Times New Roman"/>
            <w:sz w:val="20"/>
            <w:szCs w:val="20"/>
            <w:lang w:bidi="ru-RU"/>
          </w:rPr>
          <w:t>40 км</w:t>
        </w:r>
      </w:smartTag>
      <w:r w:rsidRPr="00592BA7">
        <w:rPr>
          <w:rFonts w:ascii="Times New Roman" w:hAnsi="Times New Roman" w:cs="Times New Roman"/>
          <w:sz w:val="20"/>
          <w:szCs w:val="20"/>
          <w:lang w:bidi="ru-RU"/>
        </w:rPr>
        <w:t xml:space="preserve"> участком реки Сура, которая протекает западнее г. Шумерля на расстоянии около 2,5-</w:t>
      </w:r>
      <w:smartTag w:uri="urn:schemas-microsoft-com:office:smarttags" w:element="metricconverter">
        <w:smartTagPr>
          <w:attr w:name="ProductID" w:val="3 км"/>
        </w:smartTagPr>
        <w:r w:rsidRPr="00592BA7">
          <w:rPr>
            <w:rFonts w:ascii="Times New Roman" w:hAnsi="Times New Roman" w:cs="Times New Roman"/>
            <w:sz w:val="20"/>
            <w:szCs w:val="20"/>
            <w:lang w:bidi="ru-RU"/>
          </w:rPr>
          <w:t>3 км</w:t>
        </w:r>
      </w:smartTag>
      <w:r w:rsidRPr="00592BA7">
        <w:rPr>
          <w:rFonts w:ascii="Times New Roman" w:hAnsi="Times New Roman" w:cs="Times New Roman"/>
          <w:sz w:val="20"/>
          <w:szCs w:val="20"/>
          <w:lang w:bidi="ru-RU"/>
        </w:rPr>
        <w:t>, реками Большой Цивиль, Алгашка, более мелкими водотоками (Мыслец, Шумерля, Кумашка, Эскедень) и временными водотоками, протекающими по дну развитой овражно-балочной сети.</w:t>
      </w:r>
    </w:p>
    <w:p w:rsidR="00171D1D" w:rsidRPr="00592BA7" w:rsidRDefault="00171D1D" w:rsidP="00592BA7">
      <w:pPr>
        <w:jc w:val="both"/>
        <w:rPr>
          <w:rFonts w:ascii="Times New Roman" w:hAnsi="Times New Roman" w:cs="Times New Roman"/>
          <w:sz w:val="20"/>
          <w:szCs w:val="20"/>
          <w:lang w:bidi="ru-RU"/>
        </w:rPr>
      </w:pPr>
      <w:r w:rsidRPr="00592BA7">
        <w:rPr>
          <w:rFonts w:ascii="Times New Roman" w:hAnsi="Times New Roman" w:cs="Times New Roman"/>
          <w:sz w:val="20"/>
          <w:szCs w:val="20"/>
          <w:lang w:bidi="ru-RU"/>
        </w:rPr>
        <w:t>Река Сура в пределах Шумерлинского муниципального округа протекает в широкой долине. Пойма реки двухсторонняя шириной до 5-6км. Поверхность поймы ровная, сильно пересеченная долинами рек с многочисленными озерами и старицами. Растительность поймы умеренно луговая, местами кустарниковая и лесная. Русло умеренно извилистое, песчаное, неустойчивое. Ширина русла меняется в пределах границ Шумерлинского муниципального округа, берега часто обрывистые. Дно песчаное с примесью гальки. Характерно наличие ям и отмелей. Преобладающая глубина в межень на перекатах 0,5-0,7м, на плесах 1,5-3,0м. Скорость течения соответственно до 1,5-1,7 м/с на перекатах и 0,3-0,5 м/с на плесах.</w:t>
      </w:r>
    </w:p>
    <w:p w:rsidR="00171D1D" w:rsidRPr="00592BA7" w:rsidRDefault="00171D1D" w:rsidP="00592BA7">
      <w:pPr>
        <w:jc w:val="both"/>
        <w:rPr>
          <w:rFonts w:ascii="Times New Roman" w:hAnsi="Times New Roman" w:cs="Times New Roman"/>
          <w:sz w:val="20"/>
          <w:szCs w:val="20"/>
          <w:lang w:bidi="ru-RU"/>
        </w:rPr>
      </w:pPr>
      <w:r w:rsidRPr="00592BA7">
        <w:rPr>
          <w:rFonts w:ascii="Times New Roman" w:hAnsi="Times New Roman" w:cs="Times New Roman"/>
          <w:sz w:val="20"/>
          <w:szCs w:val="20"/>
          <w:lang w:bidi="ru-RU"/>
        </w:rPr>
        <w:t>Несмотря на то, что после создания Чебоксарского водохранилища нижний участок реки от г.Шумерля до границ Шумерлинского муниципального округа находится в зоне выклинивания подпора, водный режим реки изменился незначительно.</w:t>
      </w:r>
    </w:p>
    <w:p w:rsidR="00171D1D" w:rsidRPr="00592BA7" w:rsidRDefault="00171D1D" w:rsidP="00592BA7">
      <w:pPr>
        <w:jc w:val="both"/>
        <w:rPr>
          <w:rFonts w:ascii="Times New Roman" w:hAnsi="Times New Roman" w:cs="Times New Roman"/>
          <w:sz w:val="20"/>
          <w:szCs w:val="20"/>
          <w:lang w:bidi="ru-RU"/>
        </w:rPr>
      </w:pPr>
      <w:r w:rsidRPr="00592BA7">
        <w:rPr>
          <w:rFonts w:ascii="Times New Roman" w:hAnsi="Times New Roman" w:cs="Times New Roman"/>
          <w:sz w:val="20"/>
          <w:szCs w:val="20"/>
          <w:lang w:bidi="ru-RU"/>
        </w:rPr>
        <w:t>Уровенный режим реки характеризуется высоким весенним половодьем и низкими уровнями в период летней и зимней межени. Основной фазой водного режима является весеннее половодье, в период которого проходит 60-90% годового объема стока. Подъем уровней воды начинается еще при ледоставе, в конце марта – начале апреля, проходит быстро и интенсивно. Максимальная высота уровня на р. Суре наступает через две – три недели. Спад весеннего половодья происходит значительно дольше. Общая продолжительность половодья на р. Суре составляет 2,5 месяца. Высота весеннего подъема воды на р. Суре достигает 6-</w:t>
      </w:r>
      <w:smartTag w:uri="urn:schemas-microsoft-com:office:smarttags" w:element="metricconverter">
        <w:smartTagPr>
          <w:attr w:name="ProductID" w:val="8 метров"/>
        </w:smartTagPr>
        <w:r w:rsidRPr="00592BA7">
          <w:rPr>
            <w:rFonts w:ascii="Times New Roman" w:hAnsi="Times New Roman" w:cs="Times New Roman"/>
            <w:sz w:val="20"/>
            <w:szCs w:val="20"/>
            <w:lang w:bidi="ru-RU"/>
          </w:rPr>
          <w:t>8 метров</w:t>
        </w:r>
      </w:smartTag>
      <w:r w:rsidRPr="00592BA7">
        <w:rPr>
          <w:rFonts w:ascii="Times New Roman" w:hAnsi="Times New Roman" w:cs="Times New Roman"/>
          <w:sz w:val="20"/>
          <w:szCs w:val="20"/>
          <w:lang w:bidi="ru-RU"/>
        </w:rPr>
        <w:t>.</w:t>
      </w:r>
    </w:p>
    <w:p w:rsidR="00171D1D" w:rsidRPr="00592BA7" w:rsidRDefault="00171D1D" w:rsidP="00592BA7">
      <w:pPr>
        <w:jc w:val="both"/>
        <w:rPr>
          <w:rFonts w:ascii="Times New Roman" w:hAnsi="Times New Roman" w:cs="Times New Roman"/>
          <w:sz w:val="20"/>
          <w:szCs w:val="20"/>
          <w:lang w:bidi="ru-RU"/>
        </w:rPr>
      </w:pPr>
      <w:r w:rsidRPr="00592BA7">
        <w:rPr>
          <w:rFonts w:ascii="Times New Roman" w:hAnsi="Times New Roman" w:cs="Times New Roman"/>
          <w:sz w:val="20"/>
          <w:szCs w:val="20"/>
          <w:lang w:bidi="ru-RU"/>
        </w:rPr>
        <w:t>Отметки паводка 1% обеспеченности составляют: 76-77мБС у северных границ Шумерлинского муниципального округа и 80-81мБС – у южных.</w:t>
      </w:r>
    </w:p>
    <w:p w:rsidR="00171D1D" w:rsidRPr="00592BA7" w:rsidRDefault="00171D1D" w:rsidP="00592BA7">
      <w:pPr>
        <w:jc w:val="both"/>
        <w:rPr>
          <w:rFonts w:ascii="Times New Roman" w:hAnsi="Times New Roman" w:cs="Times New Roman"/>
          <w:sz w:val="20"/>
          <w:szCs w:val="20"/>
          <w:lang w:bidi="ru-RU"/>
        </w:rPr>
      </w:pPr>
      <w:r w:rsidRPr="00592BA7">
        <w:rPr>
          <w:rFonts w:ascii="Times New Roman" w:hAnsi="Times New Roman" w:cs="Times New Roman"/>
          <w:sz w:val="20"/>
          <w:szCs w:val="20"/>
          <w:lang w:bidi="ru-RU"/>
        </w:rPr>
        <w:t>После половодья устанавливается продолжительная летне-осенняя межень, практически ежегодно нарушаемая непродолжительными дождевыми паводками.</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Рельеф.</w:t>
      </w:r>
    </w:p>
    <w:p w:rsidR="00171D1D" w:rsidRPr="00592BA7" w:rsidRDefault="00171D1D" w:rsidP="00592BA7">
      <w:pPr>
        <w:jc w:val="both"/>
        <w:rPr>
          <w:rFonts w:ascii="Times New Roman" w:hAnsi="Times New Roman" w:cs="Times New Roman"/>
          <w:sz w:val="20"/>
          <w:szCs w:val="20"/>
          <w:lang w:bidi="ru-RU"/>
        </w:rPr>
      </w:pPr>
      <w:r w:rsidRPr="00592BA7">
        <w:rPr>
          <w:rFonts w:ascii="Times New Roman" w:hAnsi="Times New Roman" w:cs="Times New Roman"/>
          <w:sz w:val="20"/>
          <w:szCs w:val="20"/>
          <w:lang w:bidi="ru-RU"/>
        </w:rPr>
        <w:t>Территория Шумерлинского муниципального округа расположена в пределах Чувашского плато Приволжской возвышенности.</w:t>
      </w:r>
    </w:p>
    <w:p w:rsidR="00171D1D" w:rsidRPr="00592BA7" w:rsidRDefault="00171D1D" w:rsidP="00592BA7">
      <w:pPr>
        <w:jc w:val="both"/>
        <w:rPr>
          <w:rFonts w:ascii="Times New Roman" w:hAnsi="Times New Roman" w:cs="Times New Roman"/>
          <w:sz w:val="20"/>
          <w:szCs w:val="20"/>
          <w:lang w:bidi="ru-RU"/>
        </w:rPr>
      </w:pPr>
      <w:r w:rsidRPr="00592BA7">
        <w:rPr>
          <w:rFonts w:ascii="Times New Roman" w:hAnsi="Times New Roman" w:cs="Times New Roman"/>
          <w:sz w:val="20"/>
          <w:szCs w:val="20"/>
          <w:lang w:bidi="ru-RU"/>
        </w:rPr>
        <w:t>С запада граница Шумерлинского муниципального округа проходит по реке Суре. В геологическом отношении долина р. Суры приурочена к Шольской депрессии.</w:t>
      </w:r>
    </w:p>
    <w:p w:rsidR="00171D1D" w:rsidRPr="00592BA7" w:rsidRDefault="00171D1D" w:rsidP="00592BA7">
      <w:pPr>
        <w:jc w:val="both"/>
        <w:rPr>
          <w:rFonts w:ascii="Times New Roman" w:hAnsi="Times New Roman" w:cs="Times New Roman"/>
          <w:sz w:val="20"/>
          <w:szCs w:val="20"/>
          <w:lang w:bidi="ru-RU"/>
        </w:rPr>
      </w:pPr>
      <w:r w:rsidRPr="00592BA7">
        <w:rPr>
          <w:rFonts w:ascii="Times New Roman" w:hAnsi="Times New Roman" w:cs="Times New Roman"/>
          <w:sz w:val="20"/>
          <w:szCs w:val="20"/>
          <w:lang w:bidi="ru-RU"/>
        </w:rPr>
        <w:t xml:space="preserve">Абсолютные отметки поверхности меняются от </w:t>
      </w:r>
      <w:smartTag w:uri="urn:schemas-microsoft-com:office:smarttags" w:element="metricconverter">
        <w:smartTagPr>
          <w:attr w:name="ProductID" w:val="67 метров"/>
        </w:smartTagPr>
        <w:r w:rsidRPr="00592BA7">
          <w:rPr>
            <w:rFonts w:ascii="Times New Roman" w:hAnsi="Times New Roman" w:cs="Times New Roman"/>
            <w:sz w:val="20"/>
            <w:szCs w:val="20"/>
            <w:lang w:bidi="ru-RU"/>
          </w:rPr>
          <w:t>67 метров</w:t>
        </w:r>
      </w:smartTag>
      <w:r w:rsidRPr="00592BA7">
        <w:rPr>
          <w:rFonts w:ascii="Times New Roman" w:hAnsi="Times New Roman" w:cs="Times New Roman"/>
          <w:sz w:val="20"/>
          <w:szCs w:val="20"/>
          <w:lang w:bidi="ru-RU"/>
        </w:rPr>
        <w:t xml:space="preserve"> на западе, урез воды р. Сура, до </w:t>
      </w:r>
      <w:smartTag w:uri="urn:schemas-microsoft-com:office:smarttags" w:element="metricconverter">
        <w:smartTagPr>
          <w:attr w:name="ProductID" w:val="198 метров"/>
        </w:smartTagPr>
        <w:r w:rsidRPr="00592BA7">
          <w:rPr>
            <w:rFonts w:ascii="Times New Roman" w:hAnsi="Times New Roman" w:cs="Times New Roman"/>
            <w:sz w:val="20"/>
            <w:szCs w:val="20"/>
            <w:lang w:bidi="ru-RU"/>
          </w:rPr>
          <w:t>198 метров</w:t>
        </w:r>
      </w:smartTag>
      <w:r w:rsidRPr="00592BA7">
        <w:rPr>
          <w:rFonts w:ascii="Times New Roman" w:hAnsi="Times New Roman" w:cs="Times New Roman"/>
          <w:sz w:val="20"/>
          <w:szCs w:val="20"/>
          <w:lang w:bidi="ru-RU"/>
        </w:rPr>
        <w:t xml:space="preserve"> на водораздельном плато, на востоке Шумерлинского муниципального округа. Отмечается общий уклон поверхности Шумерлинского муниципального округа в западном направлении.</w:t>
      </w:r>
    </w:p>
    <w:p w:rsidR="00171D1D" w:rsidRPr="00592BA7" w:rsidRDefault="00171D1D" w:rsidP="00592BA7">
      <w:pPr>
        <w:jc w:val="both"/>
        <w:rPr>
          <w:rFonts w:ascii="Times New Roman" w:hAnsi="Times New Roman" w:cs="Times New Roman"/>
          <w:sz w:val="20"/>
          <w:szCs w:val="20"/>
          <w:lang w:bidi="ru-RU"/>
        </w:rPr>
      </w:pPr>
      <w:r w:rsidRPr="00592BA7">
        <w:rPr>
          <w:rFonts w:ascii="Times New Roman" w:hAnsi="Times New Roman" w:cs="Times New Roman"/>
          <w:sz w:val="20"/>
          <w:szCs w:val="20"/>
          <w:lang w:bidi="ru-RU"/>
        </w:rPr>
        <w:t>По особенностям геоморфологического строения на рассматриваемой территории выделяются три района.</w:t>
      </w:r>
    </w:p>
    <w:p w:rsidR="00171D1D" w:rsidRPr="00592BA7" w:rsidRDefault="00171D1D" w:rsidP="00592BA7">
      <w:pPr>
        <w:jc w:val="both"/>
        <w:rPr>
          <w:rFonts w:ascii="Times New Roman" w:hAnsi="Times New Roman" w:cs="Times New Roman"/>
          <w:sz w:val="20"/>
          <w:szCs w:val="20"/>
          <w:lang w:bidi="ru-RU"/>
        </w:rPr>
      </w:pPr>
      <w:r w:rsidRPr="00592BA7">
        <w:rPr>
          <w:rFonts w:ascii="Times New Roman" w:hAnsi="Times New Roman" w:cs="Times New Roman"/>
          <w:sz w:val="20"/>
          <w:szCs w:val="20"/>
          <w:lang w:bidi="ru-RU"/>
        </w:rPr>
        <w:t>Первый, северо-восточный район, представляет собой холмистую водораздельную равнину, расчлененную многочисленными речными долинами и оврагами. Для данной местности характерна развитая эрозионная сеть, обусловленная геологическим строением территории и антропогенными факторами. Глубина местного базиса эрозии составляет 40-</w:t>
      </w:r>
      <w:smartTag w:uri="urn:schemas-microsoft-com:office:smarttags" w:element="metricconverter">
        <w:smartTagPr>
          <w:attr w:name="ProductID" w:val="60 метров"/>
        </w:smartTagPr>
        <w:r w:rsidRPr="00592BA7">
          <w:rPr>
            <w:rFonts w:ascii="Times New Roman" w:hAnsi="Times New Roman" w:cs="Times New Roman"/>
            <w:sz w:val="20"/>
            <w:szCs w:val="20"/>
            <w:lang w:bidi="ru-RU"/>
          </w:rPr>
          <w:t>60 метров</w:t>
        </w:r>
      </w:smartTag>
      <w:r w:rsidRPr="00592BA7">
        <w:rPr>
          <w:rFonts w:ascii="Times New Roman" w:hAnsi="Times New Roman" w:cs="Times New Roman"/>
          <w:sz w:val="20"/>
          <w:szCs w:val="20"/>
          <w:lang w:bidi="ru-RU"/>
        </w:rPr>
        <w:t>. Длины оврагов и балок колеблются от нескольких метров до нескольких километров. Густота овражной сети в среднем составляет 0,1-0,2 км/км2.</w:t>
      </w:r>
    </w:p>
    <w:p w:rsidR="00171D1D" w:rsidRPr="00592BA7" w:rsidRDefault="00171D1D" w:rsidP="00592BA7">
      <w:pPr>
        <w:jc w:val="both"/>
        <w:rPr>
          <w:rFonts w:ascii="Times New Roman" w:hAnsi="Times New Roman" w:cs="Times New Roman"/>
          <w:sz w:val="20"/>
          <w:szCs w:val="20"/>
          <w:lang w:bidi="ru-RU"/>
        </w:rPr>
      </w:pPr>
      <w:r w:rsidRPr="00592BA7">
        <w:rPr>
          <w:rFonts w:ascii="Times New Roman" w:hAnsi="Times New Roman" w:cs="Times New Roman"/>
          <w:sz w:val="20"/>
          <w:szCs w:val="20"/>
          <w:lang w:bidi="ru-RU"/>
        </w:rPr>
        <w:t xml:space="preserve">Второй район, характерный для центральной, восточной и южной части Шумерлинского муниципального округа, представляет собой слабовсхолмленную равнину водно-ледникового происхождения. Поверхность представляет собой вытянутые в юго-западном направлении пологие холмы высотой </w:t>
      </w:r>
      <w:smartTag w:uri="urn:schemas-microsoft-com:office:smarttags" w:element="time">
        <w:smartTagPr>
          <w:attr w:name="Hour" w:val="10"/>
          <w:attr w:name="Minute" w:val="20"/>
        </w:smartTagPr>
        <w:r w:rsidRPr="00592BA7">
          <w:rPr>
            <w:rFonts w:ascii="Times New Roman" w:hAnsi="Times New Roman" w:cs="Times New Roman"/>
            <w:sz w:val="20"/>
            <w:szCs w:val="20"/>
            <w:lang w:bidi="ru-RU"/>
          </w:rPr>
          <w:t>10-</w:t>
        </w:r>
        <w:smartTag w:uri="urn:schemas-microsoft-com:office:smarttags" w:element="metricconverter">
          <w:smartTagPr>
            <w:attr w:name="ProductID" w:val="20 метров"/>
          </w:smartTagPr>
          <w:r w:rsidRPr="00592BA7">
            <w:rPr>
              <w:rFonts w:ascii="Times New Roman" w:hAnsi="Times New Roman" w:cs="Times New Roman"/>
              <w:sz w:val="20"/>
              <w:szCs w:val="20"/>
              <w:lang w:bidi="ru-RU"/>
            </w:rPr>
            <w:t>20</w:t>
          </w:r>
        </w:smartTag>
      </w:smartTag>
      <w:r w:rsidRPr="00592BA7">
        <w:rPr>
          <w:rFonts w:ascii="Times New Roman" w:hAnsi="Times New Roman" w:cs="Times New Roman"/>
          <w:sz w:val="20"/>
          <w:szCs w:val="20"/>
          <w:lang w:bidi="ru-RU"/>
        </w:rPr>
        <w:t xml:space="preserve"> метров. Для данной </w:t>
      </w:r>
      <w:r w:rsidRPr="00592BA7">
        <w:rPr>
          <w:rFonts w:ascii="Times New Roman" w:hAnsi="Times New Roman" w:cs="Times New Roman"/>
          <w:sz w:val="20"/>
          <w:szCs w:val="20"/>
          <w:lang w:bidi="ru-RU"/>
        </w:rPr>
        <w:lastRenderedPageBreak/>
        <w:t>местности характерна высокая лесистость. Эрозионные процессы не играет существенной роли в рельефообразовании, их активность не велика.</w:t>
      </w:r>
    </w:p>
    <w:p w:rsidR="00171D1D" w:rsidRPr="00592BA7" w:rsidRDefault="00171D1D" w:rsidP="00592BA7">
      <w:pPr>
        <w:jc w:val="both"/>
        <w:rPr>
          <w:rFonts w:ascii="Times New Roman" w:hAnsi="Times New Roman" w:cs="Times New Roman"/>
          <w:sz w:val="20"/>
          <w:szCs w:val="20"/>
          <w:lang w:bidi="ru-RU"/>
        </w:rPr>
      </w:pPr>
      <w:r w:rsidRPr="00592BA7">
        <w:rPr>
          <w:rFonts w:ascii="Times New Roman" w:hAnsi="Times New Roman" w:cs="Times New Roman"/>
          <w:sz w:val="20"/>
          <w:szCs w:val="20"/>
          <w:lang w:bidi="ru-RU"/>
        </w:rPr>
        <w:t xml:space="preserve">Третий район, расположенный в западной части рассматриваемой территории, в геоморфологическом отношении представляет собой долину реки Суры. Долина хорошо разработана, выделяются пойма и три надпойменные террасы, ширина долины достигает </w:t>
      </w:r>
      <w:smartTag w:uri="urn:schemas-microsoft-com:office:smarttags" w:element="metricconverter">
        <w:smartTagPr>
          <w:attr w:name="ProductID" w:val="15 км"/>
        </w:smartTagPr>
        <w:r w:rsidRPr="00592BA7">
          <w:rPr>
            <w:rFonts w:ascii="Times New Roman" w:hAnsi="Times New Roman" w:cs="Times New Roman"/>
            <w:sz w:val="20"/>
            <w:szCs w:val="20"/>
            <w:lang w:bidi="ru-RU"/>
          </w:rPr>
          <w:t>15 км</w:t>
        </w:r>
      </w:smartTag>
      <w:r w:rsidRPr="00592BA7">
        <w:rPr>
          <w:rFonts w:ascii="Times New Roman" w:hAnsi="Times New Roman" w:cs="Times New Roman"/>
          <w:sz w:val="20"/>
          <w:szCs w:val="20"/>
          <w:lang w:bidi="ru-RU"/>
        </w:rPr>
        <w:t>. Абсолютные отметки поймы меняются в пределах 67-</w:t>
      </w:r>
      <w:smartTag w:uri="urn:schemas-microsoft-com:office:smarttags" w:element="metricconverter">
        <w:smartTagPr>
          <w:attr w:name="ProductID" w:val="77 метров"/>
        </w:smartTagPr>
        <w:r w:rsidRPr="00592BA7">
          <w:rPr>
            <w:rFonts w:ascii="Times New Roman" w:hAnsi="Times New Roman" w:cs="Times New Roman"/>
            <w:sz w:val="20"/>
            <w:szCs w:val="20"/>
            <w:lang w:bidi="ru-RU"/>
          </w:rPr>
          <w:t>77 метров</w:t>
        </w:r>
      </w:smartTag>
      <w:r w:rsidRPr="00592BA7">
        <w:rPr>
          <w:rFonts w:ascii="Times New Roman" w:hAnsi="Times New Roman" w:cs="Times New Roman"/>
          <w:sz w:val="20"/>
          <w:szCs w:val="20"/>
          <w:lang w:bidi="ru-RU"/>
        </w:rPr>
        <w:t xml:space="preserve">. Поверхность поймы – низкая, заболоченная, залесенная. На плоской поверхности надпойменных террас отмечаются эоловые образования – дюны, высотой </w:t>
      </w:r>
      <w:smartTag w:uri="urn:schemas-microsoft-com:office:smarttags" w:element="time">
        <w:smartTagPr>
          <w:attr w:name="Hour" w:val="8"/>
          <w:attr w:name="Minute" w:val="10"/>
        </w:smartTagPr>
        <w:r w:rsidRPr="00592BA7">
          <w:rPr>
            <w:rFonts w:ascii="Times New Roman" w:hAnsi="Times New Roman" w:cs="Times New Roman"/>
            <w:sz w:val="20"/>
            <w:szCs w:val="20"/>
            <w:lang w:bidi="ru-RU"/>
          </w:rPr>
          <w:t>8-</w:t>
        </w:r>
        <w:smartTag w:uri="urn:schemas-microsoft-com:office:smarttags" w:element="metricconverter">
          <w:smartTagPr>
            <w:attr w:name="ProductID" w:val="10 метров"/>
          </w:smartTagPr>
          <w:r w:rsidRPr="00592BA7">
            <w:rPr>
              <w:rFonts w:ascii="Times New Roman" w:hAnsi="Times New Roman" w:cs="Times New Roman"/>
              <w:sz w:val="20"/>
              <w:szCs w:val="20"/>
              <w:lang w:bidi="ru-RU"/>
            </w:rPr>
            <w:t>10</w:t>
          </w:r>
        </w:smartTag>
      </w:smartTag>
      <w:r w:rsidRPr="00592BA7">
        <w:rPr>
          <w:rFonts w:ascii="Times New Roman" w:hAnsi="Times New Roman" w:cs="Times New Roman"/>
          <w:sz w:val="20"/>
          <w:szCs w:val="20"/>
          <w:lang w:bidi="ru-RU"/>
        </w:rPr>
        <w:t xml:space="preserve"> метров. Густота овражно-балочной сети составляет менее 0,1 км/км2. Наиболее характерными эрозионными процессами является эрозионно-аккумулятивная деятельность р. Суры и её притоков.</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1.2.</w:t>
      </w:r>
      <w:r w:rsidRPr="00592BA7">
        <w:rPr>
          <w:rFonts w:ascii="Times New Roman" w:hAnsi="Times New Roman" w:cs="Times New Roman"/>
          <w:sz w:val="20"/>
          <w:szCs w:val="20"/>
        </w:rPr>
        <w:tab/>
        <w:t>Прогноз численности и состава населения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Ключевые демографические показатели в области численности населения Шумерлинского муниципального округа представлены в таблице 1.2.1.</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Таблица 1.2.1</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Показатели численности населения на период разработки (2024 г.) и на расчетный срок его реализации (2024-2034 г.)</w:t>
      </w:r>
    </w:p>
    <w:tbl>
      <w:tblPr>
        <w:tblW w:w="4830" w:type="pct"/>
        <w:jc w:val="center"/>
        <w:shd w:val="clear" w:color="auto" w:fill="FFFFFF"/>
        <w:tblLook w:val="0000" w:firstRow="0" w:lastRow="0" w:firstColumn="0" w:lastColumn="0" w:noHBand="0" w:noVBand="0"/>
      </w:tblPr>
      <w:tblGrid>
        <w:gridCol w:w="3092"/>
        <w:gridCol w:w="3213"/>
        <w:gridCol w:w="3213"/>
      </w:tblGrid>
      <w:tr w:rsidR="00171D1D" w:rsidRPr="00592BA7" w:rsidTr="00592BA7">
        <w:trPr>
          <w:tblHeader/>
          <w:jc w:val="center"/>
        </w:trPr>
        <w:tc>
          <w:tcPr>
            <w:tcW w:w="1624" w:type="pct"/>
            <w:tcBorders>
              <w:top w:val="single" w:sz="4" w:space="0" w:color="000000"/>
              <w:left w:val="single" w:sz="4" w:space="0" w:color="000000"/>
              <w:bottom w:val="single" w:sz="4" w:space="0" w:color="000000"/>
            </w:tcBorders>
            <w:shd w:val="clear" w:color="auto" w:fill="FFFFFF"/>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Наименование</w:t>
            </w:r>
          </w:p>
        </w:tc>
        <w:tc>
          <w:tcPr>
            <w:tcW w:w="1688" w:type="pct"/>
            <w:tcBorders>
              <w:top w:val="single" w:sz="4" w:space="0" w:color="000000"/>
              <w:left w:val="single" w:sz="4" w:space="0" w:color="000000"/>
              <w:bottom w:val="single" w:sz="4" w:space="0" w:color="000000"/>
              <w:right w:val="single" w:sz="4" w:space="0" w:color="auto"/>
            </w:tcBorders>
            <w:shd w:val="clear" w:color="auto" w:fill="FFFFFF"/>
            <w:vAlign w:val="center"/>
          </w:tcPr>
          <w:p w:rsidR="00171D1D" w:rsidRPr="00592BA7" w:rsidRDefault="00171D1D" w:rsidP="00592BA7">
            <w:pPr>
              <w:jc w:val="both"/>
              <w:rPr>
                <w:rFonts w:ascii="Times New Roman" w:hAnsi="Times New Roman" w:cs="Times New Roman"/>
                <w:sz w:val="20"/>
                <w:szCs w:val="20"/>
                <w:highlight w:val="yellow"/>
              </w:rPr>
            </w:pPr>
            <w:r w:rsidRPr="00592BA7">
              <w:rPr>
                <w:rFonts w:ascii="Times New Roman" w:hAnsi="Times New Roman" w:cs="Times New Roman"/>
                <w:sz w:val="20"/>
                <w:szCs w:val="20"/>
              </w:rPr>
              <w:t>Численность постоянного населения на 01.01.2024 г.</w:t>
            </w:r>
          </w:p>
        </w:tc>
        <w:tc>
          <w:tcPr>
            <w:tcW w:w="1688"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171D1D" w:rsidRPr="00592BA7" w:rsidRDefault="00171D1D" w:rsidP="00592BA7">
            <w:pPr>
              <w:jc w:val="both"/>
              <w:rPr>
                <w:rFonts w:ascii="Times New Roman" w:hAnsi="Times New Roman" w:cs="Times New Roman"/>
                <w:sz w:val="20"/>
                <w:szCs w:val="20"/>
                <w:highlight w:val="yellow"/>
              </w:rPr>
            </w:pPr>
            <w:r w:rsidRPr="00592BA7">
              <w:rPr>
                <w:rFonts w:ascii="Times New Roman" w:hAnsi="Times New Roman" w:cs="Times New Roman"/>
                <w:sz w:val="20"/>
                <w:szCs w:val="20"/>
              </w:rPr>
              <w:t xml:space="preserve">Прогнозируемая численность населения на 2034 </w:t>
            </w:r>
            <w:r w:rsidRPr="00B5306D">
              <w:rPr>
                <w:rFonts w:ascii="Times New Roman" w:hAnsi="Times New Roman" w:cs="Times New Roman"/>
                <w:sz w:val="20"/>
                <w:szCs w:val="20"/>
              </w:rPr>
              <w:t>г.</w:t>
            </w:r>
          </w:p>
        </w:tc>
      </w:tr>
      <w:tr w:rsidR="00171D1D" w:rsidRPr="00592BA7" w:rsidTr="00592BA7">
        <w:trPr>
          <w:trHeight w:val="273"/>
          <w:jc w:val="center"/>
        </w:trPr>
        <w:tc>
          <w:tcPr>
            <w:tcW w:w="1624" w:type="pct"/>
            <w:tcBorders>
              <w:top w:val="single" w:sz="4" w:space="0" w:color="000000"/>
              <w:left w:val="single" w:sz="4" w:space="0" w:color="000000"/>
              <w:bottom w:val="single" w:sz="4" w:space="0" w:color="000000"/>
            </w:tcBorders>
            <w:shd w:val="clear" w:color="auto" w:fill="FFFFFF"/>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Шумерлинский муниципальный округ</w:t>
            </w:r>
          </w:p>
        </w:tc>
        <w:tc>
          <w:tcPr>
            <w:tcW w:w="1688" w:type="pct"/>
            <w:tcBorders>
              <w:top w:val="single" w:sz="4" w:space="0" w:color="000000"/>
              <w:left w:val="single" w:sz="4" w:space="0" w:color="000000"/>
              <w:bottom w:val="single" w:sz="4" w:space="0" w:color="000000"/>
              <w:right w:val="single" w:sz="4" w:space="0" w:color="auto"/>
            </w:tcBorders>
            <w:shd w:val="clear" w:color="auto" w:fill="FFFFFF"/>
            <w:vAlign w:val="center"/>
          </w:tcPr>
          <w:p w:rsidR="00171D1D" w:rsidRPr="00592BA7" w:rsidRDefault="00171D1D" w:rsidP="00592BA7">
            <w:pPr>
              <w:jc w:val="both"/>
              <w:rPr>
                <w:rFonts w:ascii="Times New Roman" w:hAnsi="Times New Roman" w:cs="Times New Roman"/>
                <w:sz w:val="20"/>
                <w:szCs w:val="20"/>
                <w:lang w:val="en-US"/>
              </w:rPr>
            </w:pPr>
            <w:r w:rsidRPr="00592BA7">
              <w:rPr>
                <w:rFonts w:ascii="Times New Roman" w:hAnsi="Times New Roman" w:cs="Times New Roman"/>
                <w:sz w:val="20"/>
                <w:szCs w:val="20"/>
              </w:rPr>
              <w:t>7407</w:t>
            </w:r>
          </w:p>
        </w:tc>
        <w:tc>
          <w:tcPr>
            <w:tcW w:w="1688"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7419</w:t>
            </w:r>
          </w:p>
        </w:tc>
      </w:tr>
    </w:tbl>
    <w:p w:rsidR="00171D1D" w:rsidRPr="00592BA7" w:rsidRDefault="00171D1D" w:rsidP="00592BA7">
      <w:pPr>
        <w:jc w:val="both"/>
        <w:rPr>
          <w:rFonts w:ascii="Times New Roman" w:hAnsi="Times New Roman" w:cs="Times New Roman"/>
          <w:sz w:val="20"/>
          <w:szCs w:val="20"/>
          <w:highlight w:val="yellow"/>
        </w:rPr>
      </w:pP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1.3.</w:t>
      </w:r>
      <w:r w:rsidRPr="00592BA7">
        <w:rPr>
          <w:rFonts w:ascii="Times New Roman" w:hAnsi="Times New Roman" w:cs="Times New Roman"/>
          <w:sz w:val="20"/>
          <w:szCs w:val="20"/>
        </w:rPr>
        <w:tab/>
        <w:t>Прогноз развития промышленности</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Промышленный комплекс Шумерлинского муниципального округа представлен следующими предприятиями:</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Общество с ограниченной ответственностью «Приволье»: занимается разведением молочного крупного рогатого скота, производство сырого молока, разведение прочих пород крупного рогатого скота и буйволов, производство спермы</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В условиях модернизации экономики возникает необходимость в создании нового поколения профессионалов, способных адаптироваться к возрастающему уровню автоматизации производственных процессов, повсеместно проникающих в нашу жизнь.</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Развитие новых направлений, компьютерных технологий, создание новых продуктов в различных отраслях диктуют необходимость как расширения профессиональных знаний и навыков специалистов, так и формирования новых направлений профессиональной деятельности.</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Необходимо совершенствование работы по следующим направлениям:</w:t>
      </w:r>
    </w:p>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прогнозирование потребности в кадрах по перспективным и востребованным профессиям;</w:t>
      </w:r>
    </w:p>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подготовка инженерных кадров для высокотехнологичных производств.</w:t>
      </w:r>
    </w:p>
    <w:p w:rsidR="00171D1D" w:rsidRPr="00592BA7" w:rsidRDefault="00171D1D" w:rsidP="00592BA7">
      <w:pPr>
        <w:jc w:val="both"/>
        <w:rPr>
          <w:rFonts w:ascii="Times New Roman" w:hAnsi="Times New Roman" w:cs="Times New Roman"/>
          <w:sz w:val="20"/>
          <w:szCs w:val="20"/>
          <w:highlight w:val="yellow"/>
        </w:rPr>
      </w:pP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1.4.</w:t>
      </w:r>
      <w:r w:rsidRPr="00592BA7">
        <w:rPr>
          <w:rFonts w:ascii="Times New Roman" w:hAnsi="Times New Roman" w:cs="Times New Roman"/>
          <w:sz w:val="20"/>
          <w:szCs w:val="20"/>
        </w:rPr>
        <w:tab/>
        <w:t>Прогноз развития застройки муниципального образования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Основными направлениями в жилищном строительстве должны быть:</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повышение уровня благоустройства жилого фонда по основным показателям (отопление, газоснабжение, водоснабжение, водоотведения с учётом локальных очистных сооружений) </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освоение новых территорий для жилищного строительства с опережающим строительством объектов инженерной и транспортной инфраструктуры;</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повышение уровня капитальности жилого фонда;</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снос в существующей застройке физически и морально устаревшего жилого фонда с последующим замещением объектами жилья нового качества.</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Расчет проектных значений объемов жилищного строительства должен учесть расчетную численность населения, объем ликвидируемого аварийного и ветхого жилищного фонда, объем сохраняемого и реконструируемого жилищного фонда и проектную жилищную обеспеченность.</w:t>
      </w:r>
    </w:p>
    <w:p w:rsidR="00171D1D" w:rsidRPr="00592BA7" w:rsidRDefault="00171D1D" w:rsidP="00592BA7">
      <w:pPr>
        <w:jc w:val="both"/>
        <w:rPr>
          <w:rFonts w:ascii="Times New Roman" w:hAnsi="Times New Roman" w:cs="Times New Roman"/>
          <w:sz w:val="20"/>
          <w:szCs w:val="20"/>
          <w:highlight w:val="yellow"/>
        </w:rPr>
      </w:pP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br w:type="page"/>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1.5.</w:t>
      </w:r>
      <w:r w:rsidRPr="00592BA7">
        <w:rPr>
          <w:rFonts w:ascii="Times New Roman" w:hAnsi="Times New Roman" w:cs="Times New Roman"/>
          <w:sz w:val="20"/>
          <w:szCs w:val="20"/>
        </w:rPr>
        <w:tab/>
        <w:t>Прогноз изменения доходов населения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Таблица 1.5.1</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Прогнозируемый доход населения Шумерлинского муниципального округа</w:t>
      </w:r>
    </w:p>
    <w:tbl>
      <w:tblPr>
        <w:tblW w:w="509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99"/>
        <w:gridCol w:w="1183"/>
        <w:gridCol w:w="934"/>
        <w:gridCol w:w="739"/>
        <w:gridCol w:w="857"/>
        <w:gridCol w:w="861"/>
        <w:gridCol w:w="859"/>
        <w:gridCol w:w="851"/>
        <w:gridCol w:w="857"/>
      </w:tblGrid>
      <w:tr w:rsidR="00171D1D" w:rsidRPr="00592BA7" w:rsidTr="00592BA7">
        <w:trPr>
          <w:trHeight w:val="420"/>
        </w:trPr>
        <w:tc>
          <w:tcPr>
            <w:tcW w:w="1443" w:type="pct"/>
            <w:vMerge w:val="restar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Показатели</w:t>
            </w:r>
          </w:p>
        </w:tc>
        <w:tc>
          <w:tcPr>
            <w:tcW w:w="589" w:type="pct"/>
            <w:vMerge w:val="restar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Единица измерения</w:t>
            </w:r>
          </w:p>
        </w:tc>
        <w:tc>
          <w:tcPr>
            <w:tcW w:w="465" w:type="pct"/>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Оценка показателя</w:t>
            </w:r>
          </w:p>
        </w:tc>
        <w:tc>
          <w:tcPr>
            <w:tcW w:w="2503" w:type="pct"/>
            <w:gridSpan w:val="6"/>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Прогноз</w:t>
            </w:r>
          </w:p>
        </w:tc>
      </w:tr>
      <w:tr w:rsidR="00171D1D" w:rsidRPr="00592BA7" w:rsidTr="00592BA7">
        <w:trPr>
          <w:trHeight w:val="210"/>
        </w:trPr>
        <w:tc>
          <w:tcPr>
            <w:tcW w:w="1443" w:type="pct"/>
            <w:vMerge/>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89" w:type="pct"/>
            <w:vMerge/>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465"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2023</w:t>
            </w:r>
          </w:p>
        </w:tc>
        <w:tc>
          <w:tcPr>
            <w:tcW w:w="368"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2024</w:t>
            </w:r>
          </w:p>
        </w:tc>
        <w:tc>
          <w:tcPr>
            <w:tcW w:w="427"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2025</w:t>
            </w:r>
          </w:p>
        </w:tc>
        <w:tc>
          <w:tcPr>
            <w:tcW w:w="429"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2026</w:t>
            </w:r>
          </w:p>
        </w:tc>
        <w:tc>
          <w:tcPr>
            <w:tcW w:w="428"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2027</w:t>
            </w:r>
          </w:p>
        </w:tc>
        <w:tc>
          <w:tcPr>
            <w:tcW w:w="424"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2028</w:t>
            </w:r>
          </w:p>
        </w:tc>
        <w:tc>
          <w:tcPr>
            <w:tcW w:w="428"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2029-2034</w:t>
            </w:r>
          </w:p>
        </w:tc>
      </w:tr>
      <w:tr w:rsidR="00171D1D" w:rsidRPr="00592BA7" w:rsidTr="00592BA7">
        <w:trPr>
          <w:trHeight w:val="619"/>
        </w:trPr>
        <w:tc>
          <w:tcPr>
            <w:tcW w:w="1443" w:type="pct"/>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Прожиточный минимум в среднем на душу населения (в среднем за год), в том числе по основным социально-демографическим группам населения:</w:t>
            </w:r>
          </w:p>
        </w:tc>
        <w:tc>
          <w:tcPr>
            <w:tcW w:w="589"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руб./мес.</w:t>
            </w:r>
          </w:p>
        </w:tc>
        <w:tc>
          <w:tcPr>
            <w:tcW w:w="465"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12363</w:t>
            </w:r>
          </w:p>
        </w:tc>
        <w:tc>
          <w:tcPr>
            <w:tcW w:w="368"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13010</w:t>
            </w:r>
          </w:p>
        </w:tc>
        <w:tc>
          <w:tcPr>
            <w:tcW w:w="427"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14044</w:t>
            </w:r>
          </w:p>
        </w:tc>
        <w:tc>
          <w:tcPr>
            <w:tcW w:w="429"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15228</w:t>
            </w:r>
          </w:p>
        </w:tc>
        <w:tc>
          <w:tcPr>
            <w:tcW w:w="428"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16578</w:t>
            </w:r>
          </w:p>
        </w:tc>
        <w:tc>
          <w:tcPr>
            <w:tcW w:w="424"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18058</w:t>
            </w:r>
          </w:p>
        </w:tc>
        <w:tc>
          <w:tcPr>
            <w:tcW w:w="428"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30408</w:t>
            </w:r>
          </w:p>
        </w:tc>
      </w:tr>
      <w:tr w:rsidR="00171D1D" w:rsidRPr="00592BA7" w:rsidTr="00592BA7">
        <w:trPr>
          <w:trHeight w:val="210"/>
        </w:trPr>
        <w:tc>
          <w:tcPr>
            <w:tcW w:w="1443"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трудоспособного населения</w:t>
            </w:r>
          </w:p>
        </w:tc>
        <w:tc>
          <w:tcPr>
            <w:tcW w:w="589"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руб./мес.</w:t>
            </w:r>
          </w:p>
        </w:tc>
        <w:tc>
          <w:tcPr>
            <w:tcW w:w="465"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13476</w:t>
            </w:r>
          </w:p>
        </w:tc>
        <w:tc>
          <w:tcPr>
            <w:tcW w:w="368"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14181</w:t>
            </w:r>
          </w:p>
        </w:tc>
        <w:tc>
          <w:tcPr>
            <w:tcW w:w="427"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15308</w:t>
            </w:r>
          </w:p>
        </w:tc>
        <w:tc>
          <w:tcPr>
            <w:tcW w:w="429"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16598</w:t>
            </w:r>
          </w:p>
        </w:tc>
        <w:tc>
          <w:tcPr>
            <w:tcW w:w="428"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18098</w:t>
            </w:r>
          </w:p>
        </w:tc>
        <w:tc>
          <w:tcPr>
            <w:tcW w:w="424"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19798</w:t>
            </w:r>
          </w:p>
        </w:tc>
        <w:tc>
          <w:tcPr>
            <w:tcW w:w="428"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34398</w:t>
            </w:r>
          </w:p>
        </w:tc>
      </w:tr>
      <w:tr w:rsidR="00171D1D" w:rsidRPr="00592BA7" w:rsidTr="00592BA7">
        <w:trPr>
          <w:trHeight w:val="210"/>
        </w:trPr>
        <w:tc>
          <w:tcPr>
            <w:tcW w:w="1443"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пенсионеров</w:t>
            </w:r>
          </w:p>
        </w:tc>
        <w:tc>
          <w:tcPr>
            <w:tcW w:w="589"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руб./мес.</w:t>
            </w:r>
          </w:p>
        </w:tc>
        <w:tc>
          <w:tcPr>
            <w:tcW w:w="465"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10632</w:t>
            </w:r>
          </w:p>
        </w:tc>
        <w:tc>
          <w:tcPr>
            <w:tcW w:w="368"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11189</w:t>
            </w:r>
          </w:p>
        </w:tc>
        <w:tc>
          <w:tcPr>
            <w:tcW w:w="427"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12078</w:t>
            </w:r>
          </w:p>
        </w:tc>
        <w:tc>
          <w:tcPr>
            <w:tcW w:w="429"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13096</w:t>
            </w:r>
          </w:p>
        </w:tc>
        <w:tc>
          <w:tcPr>
            <w:tcW w:w="428"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14196</w:t>
            </w:r>
          </w:p>
        </w:tc>
        <w:tc>
          <w:tcPr>
            <w:tcW w:w="424"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15396</w:t>
            </w:r>
          </w:p>
        </w:tc>
        <w:tc>
          <w:tcPr>
            <w:tcW w:w="428"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24696</w:t>
            </w:r>
          </w:p>
        </w:tc>
      </w:tr>
      <w:tr w:rsidR="00171D1D" w:rsidRPr="00592BA7" w:rsidTr="00592BA7">
        <w:trPr>
          <w:trHeight w:val="210"/>
        </w:trPr>
        <w:tc>
          <w:tcPr>
            <w:tcW w:w="1443"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детей</w:t>
            </w:r>
          </w:p>
        </w:tc>
        <w:tc>
          <w:tcPr>
            <w:tcW w:w="589"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руб./мес.</w:t>
            </w:r>
          </w:p>
        </w:tc>
        <w:tc>
          <w:tcPr>
            <w:tcW w:w="465"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11992</w:t>
            </w:r>
          </w:p>
        </w:tc>
        <w:tc>
          <w:tcPr>
            <w:tcW w:w="368"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12620</w:t>
            </w:r>
          </w:p>
        </w:tc>
        <w:tc>
          <w:tcPr>
            <w:tcW w:w="427"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13623</w:t>
            </w:r>
          </w:p>
        </w:tc>
        <w:tc>
          <w:tcPr>
            <w:tcW w:w="429"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14771</w:t>
            </w:r>
          </w:p>
        </w:tc>
        <w:tc>
          <w:tcPr>
            <w:tcW w:w="428"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15721</w:t>
            </w:r>
          </w:p>
        </w:tc>
        <w:tc>
          <w:tcPr>
            <w:tcW w:w="424"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16821</w:t>
            </w:r>
          </w:p>
        </w:tc>
        <w:tc>
          <w:tcPr>
            <w:tcW w:w="428"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25521</w:t>
            </w:r>
          </w:p>
        </w:tc>
      </w:tr>
      <w:tr w:rsidR="00171D1D" w:rsidRPr="00592BA7" w:rsidTr="00592BA7">
        <w:trPr>
          <w:trHeight w:val="420"/>
        </w:trPr>
        <w:tc>
          <w:tcPr>
            <w:tcW w:w="1443" w:type="pct"/>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Номинальная начисленная среднемесячная заработная плата работников организаций</w:t>
            </w:r>
          </w:p>
        </w:tc>
        <w:tc>
          <w:tcPr>
            <w:tcW w:w="589"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рублей</w:t>
            </w:r>
          </w:p>
        </w:tc>
        <w:tc>
          <w:tcPr>
            <w:tcW w:w="465"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60000</w:t>
            </w:r>
          </w:p>
        </w:tc>
        <w:tc>
          <w:tcPr>
            <w:tcW w:w="368"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61500</w:t>
            </w:r>
          </w:p>
        </w:tc>
        <w:tc>
          <w:tcPr>
            <w:tcW w:w="427"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62500</w:t>
            </w:r>
          </w:p>
        </w:tc>
        <w:tc>
          <w:tcPr>
            <w:tcW w:w="429"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63500</w:t>
            </w:r>
          </w:p>
        </w:tc>
        <w:tc>
          <w:tcPr>
            <w:tcW w:w="428"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64580</w:t>
            </w:r>
          </w:p>
        </w:tc>
        <w:tc>
          <w:tcPr>
            <w:tcW w:w="424"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65742</w:t>
            </w:r>
          </w:p>
        </w:tc>
        <w:tc>
          <w:tcPr>
            <w:tcW w:w="428"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75646</w:t>
            </w:r>
          </w:p>
        </w:tc>
      </w:tr>
      <w:tr w:rsidR="00171D1D" w:rsidRPr="00592BA7" w:rsidTr="00592BA7">
        <w:trPr>
          <w:trHeight w:val="810"/>
        </w:trPr>
        <w:tc>
          <w:tcPr>
            <w:tcW w:w="1443" w:type="pct"/>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Среднемесячная начисленная заработная плата наемных работников в организациях, у индивидуальных предпринимателей и физических лиц (среднемесячный доход от трудовой деятельности)</w:t>
            </w:r>
          </w:p>
        </w:tc>
        <w:tc>
          <w:tcPr>
            <w:tcW w:w="589"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рублей</w:t>
            </w:r>
          </w:p>
        </w:tc>
        <w:tc>
          <w:tcPr>
            <w:tcW w:w="465"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28250,9</w:t>
            </w:r>
          </w:p>
        </w:tc>
        <w:tc>
          <w:tcPr>
            <w:tcW w:w="368"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32100</w:t>
            </w:r>
          </w:p>
        </w:tc>
        <w:tc>
          <w:tcPr>
            <w:tcW w:w="427"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32700</w:t>
            </w:r>
          </w:p>
        </w:tc>
        <w:tc>
          <w:tcPr>
            <w:tcW w:w="429"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35000</w:t>
            </w:r>
          </w:p>
        </w:tc>
        <w:tc>
          <w:tcPr>
            <w:tcW w:w="428"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37400</w:t>
            </w:r>
          </w:p>
        </w:tc>
        <w:tc>
          <w:tcPr>
            <w:tcW w:w="424"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39900</w:t>
            </w:r>
          </w:p>
        </w:tc>
        <w:tc>
          <w:tcPr>
            <w:tcW w:w="428"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57000</w:t>
            </w:r>
          </w:p>
        </w:tc>
      </w:tr>
    </w:tbl>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Раздел 2 Перспективные показатели спроса на коммунальные ресурсы</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Количественное определение перспективных показателей развития Шумерлинского муниципального округа осуществляется на основе Обосновывающих материалов, представленных в разделе 5 «Обосновывающих материалов».</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Раздел 3 Характеристика состояния и проблем коммунальной инфраструктуры</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3.1. Система электроснабжения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3.1.1. Описание организационной структуры, формы собственности и системы договоров между организациями, а также с потребителями</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Электроснабжение Шумерлинского муниципального округа осуществляется от Чувашской энергосистемы.</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Электроснабжение потребителей предусмотрено от электрических сетей сетевой компании филиала ПАО «Россети Волга» – «Чувашэнерго».</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Передачу электроэнергии потребителям, а также технологическое присоединение к распределительным сетям осуществляет ПАО «Россети Волга» – «Чувашэнерго» Алатырское производственное отделение, расположенное по адресу: 429800 г. Алатырь, ул. Гагарина, 19.</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Основной задачей предприятия является обеспечение надежного функционирования и развития распределительного электросетевого комплекса, а также подключение новых потребителей к распределительным сетям.</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В Шумерлинском муниципальном округе договоры электроснабжения заключаются с абонентами: собственниками помещений в многоквартирных жилых домах, нанимателями помещений в многоквартирных жилых домах, собственниками индивидуальных жилых домов, предприятиями. Договоры на отпуск электроэнергии заключаются в соответствии с требованиями, относящимися к публичным договорам и договорам энергоснабжения (статьи 426, 539 - 548 Гражданского кодекса Российской Федерации).</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3.1.2. Анализ существующего технического состояния системы электроснабжения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3.1.2.1. Анализ эффективности и надежности имеющихся источников электроснабжения</w:t>
      </w:r>
    </w:p>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Электроснабжение Шумерлинского муниципального округа осуществляется от Чувашской энергосистемы через подстанции:</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ПС 220 кВ Венец;</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ПС 110 кВ Саланчики;</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ПС 110 кВ Алгаши; </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ПС 110 кВ Ходары;</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ПС 110 кВ Шумерля.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Таблица 3.1.2.1.1</w:t>
      </w:r>
    </w:p>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Характеристики ПС 220, относящейся к энергосистеме </w:t>
      </w:r>
    </w:p>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Шумерлинского муниципального округа</w:t>
      </w:r>
    </w:p>
    <w:tbl>
      <w:tblPr>
        <w:tblW w:w="4963"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77"/>
        <w:gridCol w:w="1176"/>
        <w:gridCol w:w="1606"/>
        <w:gridCol w:w="1209"/>
        <w:gridCol w:w="1871"/>
        <w:gridCol w:w="2352"/>
        <w:gridCol w:w="989"/>
      </w:tblGrid>
      <w:tr w:rsidR="00171D1D" w:rsidRPr="00592BA7" w:rsidTr="00592BA7">
        <w:tc>
          <w:tcPr>
            <w:tcW w:w="602" w:type="dxa"/>
            <w:shd w:val="clear" w:color="auto" w:fill="auto"/>
            <w:vAlign w:val="center"/>
          </w:tcPr>
          <w:p w:rsidR="00171D1D" w:rsidRPr="00592BA7" w:rsidRDefault="00171D1D" w:rsidP="00592BA7">
            <w:pPr>
              <w:jc w:val="both"/>
              <w:rPr>
                <w:rFonts w:ascii="Times New Roman" w:hAnsi="Times New Roman" w:cs="Times New Roman"/>
                <w:sz w:val="20"/>
                <w:szCs w:val="20"/>
                <w:lang w:eastAsia="zh-CN" w:bidi="hi-IN"/>
              </w:rPr>
            </w:pPr>
            <w:r w:rsidRPr="00592BA7">
              <w:rPr>
                <w:rFonts w:ascii="Times New Roman" w:hAnsi="Times New Roman" w:cs="Times New Roman"/>
                <w:sz w:val="20"/>
                <w:szCs w:val="20"/>
                <w:lang w:eastAsia="zh-CN" w:bidi="hi-IN"/>
              </w:rPr>
              <w:t>№ п/п</w:t>
            </w:r>
          </w:p>
        </w:tc>
        <w:tc>
          <w:tcPr>
            <w:tcW w:w="1241" w:type="dxa"/>
            <w:shd w:val="clear" w:color="auto" w:fill="auto"/>
            <w:vAlign w:val="center"/>
          </w:tcPr>
          <w:p w:rsidR="00171D1D" w:rsidRPr="00592BA7" w:rsidRDefault="00171D1D" w:rsidP="00592BA7">
            <w:pPr>
              <w:jc w:val="both"/>
              <w:rPr>
                <w:rFonts w:ascii="Times New Roman" w:hAnsi="Times New Roman" w:cs="Times New Roman"/>
                <w:sz w:val="20"/>
                <w:szCs w:val="20"/>
                <w:lang w:eastAsia="zh-CN" w:bidi="hi-IN"/>
              </w:rPr>
            </w:pPr>
            <w:r w:rsidRPr="00592BA7">
              <w:rPr>
                <w:rFonts w:ascii="Times New Roman" w:hAnsi="Times New Roman" w:cs="Times New Roman"/>
                <w:sz w:val="20"/>
                <w:szCs w:val="20"/>
                <w:lang w:eastAsia="zh-CN" w:bidi="hi-IN"/>
              </w:rPr>
              <w:t>Наименование</w:t>
            </w:r>
          </w:p>
        </w:tc>
        <w:tc>
          <w:tcPr>
            <w:tcW w:w="1701" w:type="dxa"/>
            <w:shd w:val="clear" w:color="auto" w:fill="auto"/>
            <w:vAlign w:val="center"/>
          </w:tcPr>
          <w:p w:rsidR="00171D1D" w:rsidRPr="00592BA7" w:rsidRDefault="00171D1D" w:rsidP="00592BA7">
            <w:pPr>
              <w:jc w:val="both"/>
              <w:rPr>
                <w:rFonts w:ascii="Times New Roman" w:hAnsi="Times New Roman" w:cs="Times New Roman"/>
                <w:sz w:val="20"/>
                <w:szCs w:val="20"/>
                <w:lang w:eastAsia="zh-CN" w:bidi="hi-IN"/>
              </w:rPr>
            </w:pPr>
            <w:r w:rsidRPr="00592BA7">
              <w:rPr>
                <w:rFonts w:ascii="Times New Roman" w:hAnsi="Times New Roman" w:cs="Times New Roman"/>
                <w:sz w:val="20"/>
                <w:szCs w:val="20"/>
                <w:lang w:eastAsia="zh-CN" w:bidi="hi-IN"/>
              </w:rPr>
              <w:t>Напряжение</w:t>
            </w:r>
          </w:p>
          <w:p w:rsidR="00171D1D" w:rsidRPr="00592BA7" w:rsidRDefault="00171D1D" w:rsidP="00592BA7">
            <w:pPr>
              <w:jc w:val="both"/>
              <w:rPr>
                <w:rFonts w:ascii="Times New Roman" w:hAnsi="Times New Roman" w:cs="Times New Roman"/>
                <w:sz w:val="20"/>
                <w:szCs w:val="20"/>
                <w:lang w:eastAsia="zh-CN" w:bidi="hi-IN"/>
              </w:rPr>
            </w:pPr>
            <w:r w:rsidRPr="00592BA7">
              <w:rPr>
                <w:rFonts w:ascii="Times New Roman" w:hAnsi="Times New Roman" w:cs="Times New Roman"/>
                <w:sz w:val="20"/>
                <w:szCs w:val="20"/>
                <w:lang w:eastAsia="zh-CN" w:bidi="hi-IN"/>
              </w:rPr>
              <w:t>кВ</w:t>
            </w:r>
          </w:p>
        </w:tc>
        <w:tc>
          <w:tcPr>
            <w:tcW w:w="3260" w:type="dxa"/>
            <w:gridSpan w:val="2"/>
            <w:shd w:val="clear" w:color="auto" w:fill="auto"/>
            <w:vAlign w:val="center"/>
          </w:tcPr>
          <w:p w:rsidR="00171D1D" w:rsidRPr="00592BA7" w:rsidRDefault="00171D1D" w:rsidP="00592BA7">
            <w:pPr>
              <w:jc w:val="both"/>
              <w:rPr>
                <w:rFonts w:ascii="Times New Roman" w:hAnsi="Times New Roman" w:cs="Times New Roman"/>
                <w:sz w:val="20"/>
                <w:szCs w:val="20"/>
                <w:lang w:eastAsia="zh-CN" w:bidi="hi-IN"/>
              </w:rPr>
            </w:pPr>
            <w:r w:rsidRPr="00592BA7">
              <w:rPr>
                <w:rFonts w:ascii="Times New Roman" w:hAnsi="Times New Roman" w:cs="Times New Roman"/>
                <w:sz w:val="20"/>
                <w:szCs w:val="20"/>
                <w:lang w:eastAsia="zh-CN" w:bidi="hi-IN"/>
              </w:rPr>
              <w:t>Тип (авто) трансформатора</w:t>
            </w:r>
          </w:p>
        </w:tc>
        <w:tc>
          <w:tcPr>
            <w:tcW w:w="2499" w:type="dxa"/>
            <w:shd w:val="clear" w:color="auto" w:fill="auto"/>
            <w:vAlign w:val="center"/>
          </w:tcPr>
          <w:p w:rsidR="00171D1D" w:rsidRPr="00592BA7" w:rsidRDefault="00171D1D" w:rsidP="00592BA7">
            <w:pPr>
              <w:jc w:val="both"/>
              <w:rPr>
                <w:rFonts w:ascii="Times New Roman" w:hAnsi="Times New Roman" w:cs="Times New Roman"/>
                <w:sz w:val="20"/>
                <w:szCs w:val="20"/>
                <w:lang w:eastAsia="zh-CN" w:bidi="hi-IN"/>
              </w:rPr>
            </w:pPr>
            <w:r w:rsidRPr="00592BA7">
              <w:rPr>
                <w:rFonts w:ascii="Times New Roman" w:hAnsi="Times New Roman" w:cs="Times New Roman"/>
                <w:sz w:val="20"/>
                <w:szCs w:val="20"/>
                <w:lang w:eastAsia="zh-CN" w:bidi="hi-IN"/>
              </w:rPr>
              <w:t>Номинальная мощность, МВ·А</w:t>
            </w:r>
          </w:p>
        </w:tc>
        <w:tc>
          <w:tcPr>
            <w:tcW w:w="1041" w:type="dxa"/>
            <w:shd w:val="clear" w:color="auto" w:fill="auto"/>
            <w:vAlign w:val="center"/>
          </w:tcPr>
          <w:p w:rsidR="00171D1D" w:rsidRPr="00592BA7" w:rsidRDefault="00171D1D" w:rsidP="00592BA7">
            <w:pPr>
              <w:jc w:val="both"/>
              <w:rPr>
                <w:rFonts w:ascii="Times New Roman" w:hAnsi="Times New Roman" w:cs="Times New Roman"/>
                <w:sz w:val="20"/>
                <w:szCs w:val="20"/>
                <w:lang w:eastAsia="zh-CN" w:bidi="hi-IN"/>
              </w:rPr>
            </w:pPr>
            <w:r w:rsidRPr="00592BA7">
              <w:rPr>
                <w:rFonts w:ascii="Times New Roman" w:hAnsi="Times New Roman" w:cs="Times New Roman"/>
                <w:sz w:val="20"/>
                <w:szCs w:val="20"/>
                <w:lang w:eastAsia="zh-CN" w:bidi="hi-IN"/>
              </w:rPr>
              <w:t>Год ввода</w:t>
            </w:r>
          </w:p>
        </w:tc>
      </w:tr>
      <w:tr w:rsidR="00171D1D" w:rsidRPr="00592BA7" w:rsidTr="00592BA7">
        <w:tc>
          <w:tcPr>
            <w:tcW w:w="602" w:type="dxa"/>
            <w:vMerge w:val="restart"/>
            <w:shd w:val="clear" w:color="auto" w:fill="auto"/>
            <w:vAlign w:val="center"/>
          </w:tcPr>
          <w:p w:rsidR="00171D1D" w:rsidRPr="00592BA7" w:rsidRDefault="00171D1D" w:rsidP="00592BA7">
            <w:pPr>
              <w:jc w:val="both"/>
              <w:rPr>
                <w:rFonts w:ascii="Times New Roman" w:hAnsi="Times New Roman" w:cs="Times New Roman"/>
                <w:sz w:val="20"/>
                <w:szCs w:val="20"/>
                <w:lang w:eastAsia="zh-CN" w:bidi="hi-IN"/>
              </w:rPr>
            </w:pPr>
            <w:r w:rsidRPr="00592BA7">
              <w:rPr>
                <w:rFonts w:ascii="Times New Roman" w:hAnsi="Times New Roman" w:cs="Times New Roman"/>
                <w:sz w:val="20"/>
                <w:szCs w:val="20"/>
                <w:lang w:eastAsia="zh-CN" w:bidi="hi-IN"/>
              </w:rPr>
              <w:t>1</w:t>
            </w:r>
          </w:p>
        </w:tc>
        <w:tc>
          <w:tcPr>
            <w:tcW w:w="1241" w:type="dxa"/>
            <w:vMerge w:val="restart"/>
            <w:shd w:val="clear" w:color="auto" w:fill="auto"/>
            <w:vAlign w:val="center"/>
          </w:tcPr>
          <w:p w:rsidR="00171D1D" w:rsidRPr="00592BA7" w:rsidRDefault="00171D1D" w:rsidP="00592BA7">
            <w:pPr>
              <w:jc w:val="both"/>
              <w:rPr>
                <w:rFonts w:ascii="Times New Roman" w:hAnsi="Times New Roman" w:cs="Times New Roman"/>
                <w:sz w:val="20"/>
                <w:szCs w:val="20"/>
                <w:lang w:eastAsia="zh-CN" w:bidi="hi-IN"/>
              </w:rPr>
            </w:pPr>
            <w:r w:rsidRPr="00592BA7">
              <w:rPr>
                <w:rFonts w:ascii="Times New Roman" w:hAnsi="Times New Roman" w:cs="Times New Roman"/>
                <w:sz w:val="20"/>
                <w:szCs w:val="20"/>
              </w:rPr>
              <w:t>ПС 220 кВ Венец</w:t>
            </w:r>
          </w:p>
        </w:tc>
        <w:tc>
          <w:tcPr>
            <w:tcW w:w="1701"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220/110/10</w:t>
            </w:r>
          </w:p>
        </w:tc>
        <w:tc>
          <w:tcPr>
            <w:tcW w:w="1276"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АТ-1</w:t>
            </w:r>
          </w:p>
        </w:tc>
        <w:tc>
          <w:tcPr>
            <w:tcW w:w="1984"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АТДЦТН-125000/220/110</w:t>
            </w:r>
          </w:p>
        </w:tc>
        <w:tc>
          <w:tcPr>
            <w:tcW w:w="2499"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125</w:t>
            </w:r>
          </w:p>
        </w:tc>
        <w:tc>
          <w:tcPr>
            <w:tcW w:w="1041"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1988</w:t>
            </w:r>
          </w:p>
        </w:tc>
      </w:tr>
      <w:tr w:rsidR="00171D1D" w:rsidRPr="00592BA7" w:rsidTr="00592BA7">
        <w:tc>
          <w:tcPr>
            <w:tcW w:w="602" w:type="dxa"/>
            <w:vMerge/>
            <w:shd w:val="clear" w:color="auto" w:fill="auto"/>
            <w:vAlign w:val="center"/>
          </w:tcPr>
          <w:p w:rsidR="00171D1D" w:rsidRPr="00592BA7" w:rsidRDefault="00171D1D" w:rsidP="00592BA7">
            <w:pPr>
              <w:jc w:val="both"/>
              <w:rPr>
                <w:rFonts w:ascii="Times New Roman" w:hAnsi="Times New Roman" w:cs="Times New Roman"/>
                <w:sz w:val="20"/>
                <w:szCs w:val="20"/>
                <w:lang w:eastAsia="zh-CN" w:bidi="hi-IN"/>
              </w:rPr>
            </w:pPr>
          </w:p>
        </w:tc>
        <w:tc>
          <w:tcPr>
            <w:tcW w:w="1241" w:type="dxa"/>
            <w:vMerge/>
            <w:shd w:val="clear" w:color="auto" w:fill="auto"/>
            <w:vAlign w:val="center"/>
          </w:tcPr>
          <w:p w:rsidR="00171D1D" w:rsidRPr="00592BA7" w:rsidRDefault="00171D1D" w:rsidP="00592BA7">
            <w:pPr>
              <w:jc w:val="both"/>
              <w:rPr>
                <w:rFonts w:ascii="Times New Roman" w:hAnsi="Times New Roman" w:cs="Times New Roman"/>
                <w:sz w:val="20"/>
                <w:szCs w:val="20"/>
                <w:lang w:eastAsia="zh-CN" w:bidi="hi-IN"/>
              </w:rPr>
            </w:pPr>
          </w:p>
        </w:tc>
        <w:tc>
          <w:tcPr>
            <w:tcW w:w="1701" w:type="dxa"/>
            <w:vMerge w:val="restar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110/6</w:t>
            </w:r>
          </w:p>
        </w:tc>
        <w:tc>
          <w:tcPr>
            <w:tcW w:w="1276"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Т-1</w:t>
            </w:r>
          </w:p>
        </w:tc>
        <w:tc>
          <w:tcPr>
            <w:tcW w:w="1984"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ТДН-16000/110/6</w:t>
            </w:r>
          </w:p>
        </w:tc>
        <w:tc>
          <w:tcPr>
            <w:tcW w:w="2499"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16</w:t>
            </w:r>
          </w:p>
        </w:tc>
        <w:tc>
          <w:tcPr>
            <w:tcW w:w="1041"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1971</w:t>
            </w:r>
          </w:p>
        </w:tc>
      </w:tr>
      <w:tr w:rsidR="00171D1D" w:rsidRPr="00592BA7" w:rsidTr="00592BA7">
        <w:tc>
          <w:tcPr>
            <w:tcW w:w="602" w:type="dxa"/>
            <w:vMerge/>
            <w:shd w:val="clear" w:color="auto" w:fill="auto"/>
            <w:vAlign w:val="center"/>
          </w:tcPr>
          <w:p w:rsidR="00171D1D" w:rsidRPr="00592BA7" w:rsidRDefault="00171D1D" w:rsidP="00592BA7">
            <w:pPr>
              <w:jc w:val="both"/>
              <w:rPr>
                <w:rFonts w:ascii="Times New Roman" w:hAnsi="Times New Roman" w:cs="Times New Roman"/>
                <w:sz w:val="20"/>
                <w:szCs w:val="20"/>
                <w:lang w:eastAsia="zh-CN" w:bidi="hi-IN"/>
              </w:rPr>
            </w:pPr>
          </w:p>
        </w:tc>
        <w:tc>
          <w:tcPr>
            <w:tcW w:w="1241" w:type="dxa"/>
            <w:vMerge/>
            <w:shd w:val="clear" w:color="auto" w:fill="auto"/>
            <w:vAlign w:val="center"/>
          </w:tcPr>
          <w:p w:rsidR="00171D1D" w:rsidRPr="00592BA7" w:rsidRDefault="00171D1D" w:rsidP="00592BA7">
            <w:pPr>
              <w:jc w:val="both"/>
              <w:rPr>
                <w:rFonts w:ascii="Times New Roman" w:hAnsi="Times New Roman" w:cs="Times New Roman"/>
                <w:sz w:val="20"/>
                <w:szCs w:val="20"/>
                <w:lang w:eastAsia="zh-CN" w:bidi="hi-IN"/>
              </w:rPr>
            </w:pPr>
          </w:p>
        </w:tc>
        <w:tc>
          <w:tcPr>
            <w:tcW w:w="1701" w:type="dxa"/>
            <w:vMerge/>
            <w:shd w:val="clear" w:color="auto" w:fill="auto"/>
            <w:vAlign w:val="center"/>
          </w:tcPr>
          <w:p w:rsidR="00171D1D" w:rsidRPr="00592BA7" w:rsidRDefault="00171D1D" w:rsidP="00592BA7">
            <w:pPr>
              <w:jc w:val="both"/>
              <w:rPr>
                <w:rFonts w:ascii="Times New Roman" w:hAnsi="Times New Roman" w:cs="Times New Roman"/>
                <w:sz w:val="20"/>
                <w:szCs w:val="20"/>
                <w:lang w:eastAsia="zh-CN" w:bidi="hi-IN"/>
              </w:rPr>
            </w:pPr>
          </w:p>
        </w:tc>
        <w:tc>
          <w:tcPr>
            <w:tcW w:w="1276"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Т-2</w:t>
            </w:r>
          </w:p>
        </w:tc>
        <w:tc>
          <w:tcPr>
            <w:tcW w:w="1984"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ТДН-16000/110/6</w:t>
            </w:r>
          </w:p>
        </w:tc>
        <w:tc>
          <w:tcPr>
            <w:tcW w:w="2499"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16</w:t>
            </w:r>
          </w:p>
        </w:tc>
        <w:tc>
          <w:tcPr>
            <w:tcW w:w="1041"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1971</w:t>
            </w:r>
          </w:p>
        </w:tc>
      </w:tr>
    </w:tbl>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Таблица 3.1.2.1.2</w:t>
      </w:r>
    </w:p>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Перечень ПС 110, относящихся к энергосистеме </w:t>
      </w:r>
    </w:p>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Шумерлинского муниципального округа</w:t>
      </w:r>
    </w:p>
    <w:tbl>
      <w:tblPr>
        <w:tblW w:w="5000" w:type="pct"/>
        <w:tblInd w:w="108" w:type="dxa"/>
        <w:tblLayout w:type="fixed"/>
        <w:tblLook w:val="0000" w:firstRow="0" w:lastRow="0" w:firstColumn="0" w:lastColumn="0" w:noHBand="0" w:noVBand="0"/>
      </w:tblPr>
      <w:tblGrid>
        <w:gridCol w:w="717"/>
        <w:gridCol w:w="2119"/>
        <w:gridCol w:w="1978"/>
        <w:gridCol w:w="936"/>
        <w:gridCol w:w="1961"/>
        <w:gridCol w:w="1059"/>
        <w:gridCol w:w="1083"/>
      </w:tblGrid>
      <w:tr w:rsidR="00171D1D" w:rsidRPr="00592BA7" w:rsidTr="00592BA7">
        <w:trPr>
          <w:tblHeader/>
        </w:trPr>
        <w:tc>
          <w:tcPr>
            <w:tcW w:w="750" w:type="dxa"/>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r w:rsidRPr="00592BA7">
              <w:rPr>
                <w:rFonts w:ascii="Times New Roman" w:hAnsi="Times New Roman" w:cs="Times New Roman"/>
                <w:sz w:val="20"/>
                <w:szCs w:val="20"/>
                <w:lang w:eastAsia="zh-CN"/>
              </w:rPr>
              <w:t>№ п/п</w:t>
            </w:r>
          </w:p>
        </w:tc>
        <w:tc>
          <w:tcPr>
            <w:tcW w:w="2249" w:type="dxa"/>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r w:rsidRPr="00592BA7">
              <w:rPr>
                <w:rFonts w:ascii="Times New Roman" w:hAnsi="Times New Roman" w:cs="Times New Roman"/>
                <w:sz w:val="20"/>
                <w:szCs w:val="20"/>
                <w:lang w:eastAsia="zh-CN"/>
              </w:rPr>
              <w:t>Наименование подстанции</w:t>
            </w:r>
          </w:p>
        </w:tc>
        <w:tc>
          <w:tcPr>
            <w:tcW w:w="2099" w:type="dxa"/>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r w:rsidRPr="00592BA7">
              <w:rPr>
                <w:rFonts w:ascii="Times New Roman" w:hAnsi="Times New Roman" w:cs="Times New Roman"/>
                <w:sz w:val="20"/>
                <w:szCs w:val="20"/>
                <w:lang w:eastAsia="zh-CN"/>
              </w:rPr>
              <w:t>Наименование трансформатора</w:t>
            </w:r>
          </w:p>
        </w:tc>
        <w:tc>
          <w:tcPr>
            <w:tcW w:w="984" w:type="dxa"/>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r w:rsidRPr="00592BA7">
              <w:rPr>
                <w:rFonts w:ascii="Times New Roman" w:hAnsi="Times New Roman" w:cs="Times New Roman"/>
                <w:sz w:val="20"/>
                <w:szCs w:val="20"/>
                <w:lang w:eastAsia="zh-CN"/>
              </w:rPr>
              <w:t>Sном, МВ·А</w:t>
            </w:r>
          </w:p>
        </w:tc>
        <w:tc>
          <w:tcPr>
            <w:tcW w:w="2081" w:type="dxa"/>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r w:rsidRPr="00592BA7">
              <w:rPr>
                <w:rFonts w:ascii="Times New Roman" w:hAnsi="Times New Roman" w:cs="Times New Roman"/>
                <w:sz w:val="20"/>
                <w:szCs w:val="20"/>
                <w:lang w:eastAsia="zh-CN"/>
              </w:rPr>
              <w:t>Обмотка тр-ра ВН, СН, НН</w:t>
            </w:r>
          </w:p>
        </w:tc>
        <w:tc>
          <w:tcPr>
            <w:tcW w:w="1116" w:type="dxa"/>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r w:rsidRPr="00592BA7">
              <w:rPr>
                <w:rFonts w:ascii="Times New Roman" w:hAnsi="Times New Roman" w:cs="Times New Roman"/>
                <w:sz w:val="20"/>
                <w:szCs w:val="20"/>
                <w:lang w:eastAsia="zh-CN"/>
              </w:rPr>
              <w:t>Uном, кВ</w:t>
            </w:r>
          </w:p>
        </w:tc>
        <w:tc>
          <w:tcPr>
            <w:tcW w:w="11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r w:rsidRPr="00592BA7">
              <w:rPr>
                <w:rFonts w:ascii="Times New Roman" w:hAnsi="Times New Roman" w:cs="Times New Roman"/>
                <w:sz w:val="20"/>
                <w:szCs w:val="20"/>
                <w:lang w:eastAsia="zh-CN"/>
              </w:rPr>
              <w:t>Год ввода</w:t>
            </w:r>
          </w:p>
        </w:tc>
      </w:tr>
      <w:tr w:rsidR="00171D1D" w:rsidRPr="00592BA7" w:rsidTr="00592BA7">
        <w:tc>
          <w:tcPr>
            <w:tcW w:w="750" w:type="dxa"/>
            <w:tcBorders>
              <w:top w:val="single" w:sz="4" w:space="0" w:color="000000"/>
              <w:left w:val="single" w:sz="4" w:space="0" w:color="000000"/>
              <w:bottom w:val="single" w:sz="4" w:space="0" w:color="000000"/>
            </w:tcBorders>
            <w:shd w:val="clear" w:color="auto" w:fill="auto"/>
          </w:tcPr>
          <w:p w:rsidR="00171D1D" w:rsidRPr="00592BA7" w:rsidRDefault="00171D1D" w:rsidP="00592BA7">
            <w:pPr>
              <w:jc w:val="both"/>
              <w:rPr>
                <w:rFonts w:ascii="Times New Roman" w:hAnsi="Times New Roman" w:cs="Times New Roman"/>
                <w:sz w:val="20"/>
                <w:szCs w:val="20"/>
                <w:lang w:eastAsia="zh-CN"/>
              </w:rPr>
            </w:pPr>
            <w:r w:rsidRPr="00592BA7">
              <w:rPr>
                <w:rFonts w:ascii="Times New Roman" w:hAnsi="Times New Roman" w:cs="Times New Roman"/>
                <w:sz w:val="20"/>
                <w:szCs w:val="20"/>
                <w:lang w:eastAsia="zh-CN"/>
              </w:rPr>
              <w:t>1.</w:t>
            </w:r>
          </w:p>
        </w:tc>
        <w:tc>
          <w:tcPr>
            <w:tcW w:w="9671" w:type="dxa"/>
            <w:gridSpan w:val="6"/>
            <w:tcBorders>
              <w:top w:val="single" w:sz="4" w:space="0" w:color="000000"/>
              <w:left w:val="single" w:sz="4" w:space="0" w:color="000000"/>
              <w:bottom w:val="single" w:sz="4" w:space="0" w:color="000000"/>
              <w:right w:val="single" w:sz="4" w:space="0" w:color="000000"/>
            </w:tcBorders>
            <w:shd w:val="clear" w:color="auto" w:fill="auto"/>
          </w:tcPr>
          <w:p w:rsidR="00171D1D" w:rsidRPr="00592BA7" w:rsidRDefault="00171D1D" w:rsidP="00592BA7">
            <w:pPr>
              <w:jc w:val="both"/>
              <w:rPr>
                <w:rFonts w:ascii="Times New Roman" w:hAnsi="Times New Roman" w:cs="Times New Roman"/>
                <w:sz w:val="20"/>
                <w:szCs w:val="20"/>
                <w:lang w:eastAsia="zh-CN" w:bidi="hi-IN"/>
              </w:rPr>
            </w:pPr>
            <w:r w:rsidRPr="00592BA7">
              <w:rPr>
                <w:rFonts w:ascii="Times New Roman" w:hAnsi="Times New Roman" w:cs="Times New Roman"/>
                <w:sz w:val="20"/>
                <w:szCs w:val="20"/>
                <w:lang w:eastAsia="zh-CN" w:bidi="hi-IN"/>
              </w:rPr>
              <w:t>Алатырское производственное отделение</w:t>
            </w:r>
          </w:p>
        </w:tc>
      </w:tr>
      <w:tr w:rsidR="00171D1D" w:rsidRPr="00592BA7" w:rsidTr="00592BA7">
        <w:tc>
          <w:tcPr>
            <w:tcW w:w="750" w:type="dxa"/>
            <w:vMerge w:val="restart"/>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r w:rsidRPr="00592BA7">
              <w:rPr>
                <w:rFonts w:ascii="Times New Roman" w:hAnsi="Times New Roman" w:cs="Times New Roman"/>
                <w:sz w:val="20"/>
                <w:szCs w:val="20"/>
                <w:lang w:eastAsia="zh-CN"/>
              </w:rPr>
              <w:lastRenderedPageBreak/>
              <w:t>1.1</w:t>
            </w:r>
          </w:p>
        </w:tc>
        <w:tc>
          <w:tcPr>
            <w:tcW w:w="2249" w:type="dxa"/>
            <w:vMerge w:val="restart"/>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r w:rsidRPr="00592BA7">
              <w:rPr>
                <w:rFonts w:ascii="Times New Roman" w:hAnsi="Times New Roman" w:cs="Times New Roman"/>
                <w:sz w:val="20"/>
                <w:szCs w:val="20"/>
                <w:lang w:eastAsia="zh-CN"/>
              </w:rPr>
              <w:t>ПС 110 кВ Алгаши</w:t>
            </w:r>
          </w:p>
        </w:tc>
        <w:tc>
          <w:tcPr>
            <w:tcW w:w="2099" w:type="dxa"/>
            <w:vMerge w:val="restart"/>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r w:rsidRPr="00592BA7">
              <w:rPr>
                <w:rFonts w:ascii="Times New Roman" w:hAnsi="Times New Roman" w:cs="Times New Roman"/>
                <w:sz w:val="20"/>
                <w:szCs w:val="20"/>
                <w:lang w:eastAsia="zh-CN"/>
              </w:rPr>
              <w:t>Т-1</w:t>
            </w:r>
          </w:p>
        </w:tc>
        <w:tc>
          <w:tcPr>
            <w:tcW w:w="984" w:type="dxa"/>
            <w:vMerge w:val="restart"/>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r w:rsidRPr="00592BA7">
              <w:rPr>
                <w:rFonts w:ascii="Times New Roman" w:hAnsi="Times New Roman" w:cs="Times New Roman"/>
                <w:sz w:val="20"/>
                <w:szCs w:val="20"/>
                <w:lang w:eastAsia="zh-CN"/>
              </w:rPr>
              <w:t>2,5</w:t>
            </w:r>
          </w:p>
        </w:tc>
        <w:tc>
          <w:tcPr>
            <w:tcW w:w="2081" w:type="dxa"/>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r w:rsidRPr="00592BA7">
              <w:rPr>
                <w:rFonts w:ascii="Times New Roman" w:hAnsi="Times New Roman" w:cs="Times New Roman"/>
                <w:sz w:val="20"/>
                <w:szCs w:val="20"/>
                <w:lang w:eastAsia="zh-CN"/>
              </w:rPr>
              <w:t>ВН</w:t>
            </w:r>
          </w:p>
        </w:tc>
        <w:tc>
          <w:tcPr>
            <w:tcW w:w="1116" w:type="dxa"/>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r w:rsidRPr="00592BA7">
              <w:rPr>
                <w:rFonts w:ascii="Times New Roman" w:hAnsi="Times New Roman" w:cs="Times New Roman"/>
                <w:sz w:val="20"/>
                <w:szCs w:val="20"/>
                <w:lang w:eastAsia="zh-CN"/>
              </w:rPr>
              <w:t>110</w:t>
            </w:r>
          </w:p>
        </w:tc>
        <w:tc>
          <w:tcPr>
            <w:tcW w:w="114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r w:rsidRPr="00592BA7">
              <w:rPr>
                <w:rFonts w:ascii="Times New Roman" w:hAnsi="Times New Roman" w:cs="Times New Roman"/>
                <w:sz w:val="20"/>
                <w:szCs w:val="20"/>
                <w:lang w:eastAsia="zh-CN"/>
              </w:rPr>
              <w:t>1980</w:t>
            </w:r>
          </w:p>
        </w:tc>
      </w:tr>
      <w:tr w:rsidR="00171D1D" w:rsidRPr="00592BA7" w:rsidTr="00592BA7">
        <w:tc>
          <w:tcPr>
            <w:tcW w:w="750" w:type="dxa"/>
            <w:vMerge/>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p>
        </w:tc>
        <w:tc>
          <w:tcPr>
            <w:tcW w:w="2249" w:type="dxa"/>
            <w:vMerge/>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p>
        </w:tc>
        <w:tc>
          <w:tcPr>
            <w:tcW w:w="2099" w:type="dxa"/>
            <w:vMerge/>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p>
        </w:tc>
        <w:tc>
          <w:tcPr>
            <w:tcW w:w="984" w:type="dxa"/>
            <w:vMerge/>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p>
        </w:tc>
        <w:tc>
          <w:tcPr>
            <w:tcW w:w="2081" w:type="dxa"/>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r w:rsidRPr="00592BA7">
              <w:rPr>
                <w:rFonts w:ascii="Times New Roman" w:hAnsi="Times New Roman" w:cs="Times New Roman"/>
                <w:sz w:val="20"/>
                <w:szCs w:val="20"/>
                <w:lang w:eastAsia="zh-CN"/>
              </w:rPr>
              <w:t>НН</w:t>
            </w:r>
          </w:p>
        </w:tc>
        <w:tc>
          <w:tcPr>
            <w:tcW w:w="1116" w:type="dxa"/>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r w:rsidRPr="00592BA7">
              <w:rPr>
                <w:rFonts w:ascii="Times New Roman" w:hAnsi="Times New Roman" w:cs="Times New Roman"/>
                <w:sz w:val="20"/>
                <w:szCs w:val="20"/>
                <w:lang w:eastAsia="zh-CN"/>
              </w:rPr>
              <w:t>10</w:t>
            </w:r>
          </w:p>
        </w:tc>
        <w:tc>
          <w:tcPr>
            <w:tcW w:w="114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p>
        </w:tc>
      </w:tr>
      <w:tr w:rsidR="00171D1D" w:rsidRPr="00592BA7" w:rsidTr="00592BA7">
        <w:tc>
          <w:tcPr>
            <w:tcW w:w="750" w:type="dxa"/>
            <w:vMerge/>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p>
        </w:tc>
        <w:tc>
          <w:tcPr>
            <w:tcW w:w="2249" w:type="dxa"/>
            <w:vMerge/>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p>
        </w:tc>
        <w:tc>
          <w:tcPr>
            <w:tcW w:w="2099" w:type="dxa"/>
            <w:vMerge w:val="restart"/>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r w:rsidRPr="00592BA7">
              <w:rPr>
                <w:rFonts w:ascii="Times New Roman" w:hAnsi="Times New Roman" w:cs="Times New Roman"/>
                <w:sz w:val="20"/>
                <w:szCs w:val="20"/>
                <w:lang w:eastAsia="zh-CN"/>
              </w:rPr>
              <w:t>Т-2</w:t>
            </w:r>
          </w:p>
        </w:tc>
        <w:tc>
          <w:tcPr>
            <w:tcW w:w="984" w:type="dxa"/>
            <w:vMerge w:val="restart"/>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r w:rsidRPr="00592BA7">
              <w:rPr>
                <w:rFonts w:ascii="Times New Roman" w:hAnsi="Times New Roman" w:cs="Times New Roman"/>
                <w:sz w:val="20"/>
                <w:szCs w:val="20"/>
                <w:lang w:eastAsia="zh-CN"/>
              </w:rPr>
              <w:t>6,3</w:t>
            </w:r>
          </w:p>
        </w:tc>
        <w:tc>
          <w:tcPr>
            <w:tcW w:w="2081" w:type="dxa"/>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r w:rsidRPr="00592BA7">
              <w:rPr>
                <w:rFonts w:ascii="Times New Roman" w:hAnsi="Times New Roman" w:cs="Times New Roman"/>
                <w:sz w:val="20"/>
                <w:szCs w:val="20"/>
                <w:lang w:eastAsia="zh-CN"/>
              </w:rPr>
              <w:t>ВН</w:t>
            </w:r>
          </w:p>
        </w:tc>
        <w:tc>
          <w:tcPr>
            <w:tcW w:w="1116" w:type="dxa"/>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r w:rsidRPr="00592BA7">
              <w:rPr>
                <w:rFonts w:ascii="Times New Roman" w:hAnsi="Times New Roman" w:cs="Times New Roman"/>
                <w:sz w:val="20"/>
                <w:szCs w:val="20"/>
                <w:lang w:eastAsia="zh-CN"/>
              </w:rPr>
              <w:t>115</w:t>
            </w:r>
          </w:p>
        </w:tc>
        <w:tc>
          <w:tcPr>
            <w:tcW w:w="114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r w:rsidRPr="00592BA7">
              <w:rPr>
                <w:rFonts w:ascii="Times New Roman" w:hAnsi="Times New Roman" w:cs="Times New Roman"/>
                <w:sz w:val="20"/>
                <w:szCs w:val="20"/>
                <w:lang w:eastAsia="zh-CN"/>
              </w:rPr>
              <w:t>1984</w:t>
            </w:r>
          </w:p>
        </w:tc>
      </w:tr>
      <w:tr w:rsidR="00171D1D" w:rsidRPr="00592BA7" w:rsidTr="00592BA7">
        <w:tc>
          <w:tcPr>
            <w:tcW w:w="750" w:type="dxa"/>
            <w:vMerge/>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p>
        </w:tc>
        <w:tc>
          <w:tcPr>
            <w:tcW w:w="2249" w:type="dxa"/>
            <w:vMerge/>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p>
        </w:tc>
        <w:tc>
          <w:tcPr>
            <w:tcW w:w="2099" w:type="dxa"/>
            <w:vMerge/>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p>
        </w:tc>
        <w:tc>
          <w:tcPr>
            <w:tcW w:w="984" w:type="dxa"/>
            <w:vMerge/>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p>
        </w:tc>
        <w:tc>
          <w:tcPr>
            <w:tcW w:w="2081" w:type="dxa"/>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r w:rsidRPr="00592BA7">
              <w:rPr>
                <w:rFonts w:ascii="Times New Roman" w:hAnsi="Times New Roman" w:cs="Times New Roman"/>
                <w:sz w:val="20"/>
                <w:szCs w:val="20"/>
                <w:lang w:eastAsia="zh-CN"/>
              </w:rPr>
              <w:t>НН</w:t>
            </w:r>
          </w:p>
        </w:tc>
        <w:tc>
          <w:tcPr>
            <w:tcW w:w="1116" w:type="dxa"/>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r w:rsidRPr="00592BA7">
              <w:rPr>
                <w:rFonts w:ascii="Times New Roman" w:hAnsi="Times New Roman" w:cs="Times New Roman"/>
                <w:sz w:val="20"/>
                <w:szCs w:val="20"/>
                <w:lang w:eastAsia="zh-CN"/>
              </w:rPr>
              <w:t>11</w:t>
            </w:r>
          </w:p>
        </w:tc>
        <w:tc>
          <w:tcPr>
            <w:tcW w:w="114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p>
        </w:tc>
      </w:tr>
      <w:tr w:rsidR="00171D1D" w:rsidRPr="00592BA7" w:rsidTr="00592BA7">
        <w:trPr>
          <w:trHeight w:val="252"/>
        </w:trPr>
        <w:tc>
          <w:tcPr>
            <w:tcW w:w="750" w:type="dxa"/>
            <w:vMerge/>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p>
        </w:tc>
        <w:tc>
          <w:tcPr>
            <w:tcW w:w="2249" w:type="dxa"/>
            <w:vMerge/>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p>
        </w:tc>
        <w:tc>
          <w:tcPr>
            <w:tcW w:w="2099" w:type="dxa"/>
            <w:vMerge/>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p>
        </w:tc>
        <w:tc>
          <w:tcPr>
            <w:tcW w:w="984" w:type="dxa"/>
            <w:vMerge/>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p>
        </w:tc>
        <w:tc>
          <w:tcPr>
            <w:tcW w:w="2081" w:type="dxa"/>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r w:rsidRPr="00592BA7">
              <w:rPr>
                <w:rFonts w:ascii="Times New Roman" w:hAnsi="Times New Roman" w:cs="Times New Roman"/>
                <w:sz w:val="20"/>
                <w:szCs w:val="20"/>
                <w:lang w:eastAsia="zh-CN"/>
              </w:rPr>
              <w:t>НН</w:t>
            </w:r>
          </w:p>
        </w:tc>
        <w:tc>
          <w:tcPr>
            <w:tcW w:w="1116" w:type="dxa"/>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r w:rsidRPr="00592BA7">
              <w:rPr>
                <w:rFonts w:ascii="Times New Roman" w:hAnsi="Times New Roman" w:cs="Times New Roman"/>
                <w:sz w:val="20"/>
                <w:szCs w:val="20"/>
                <w:lang w:eastAsia="zh-CN"/>
              </w:rPr>
              <w:t>11</w:t>
            </w:r>
          </w:p>
        </w:tc>
        <w:tc>
          <w:tcPr>
            <w:tcW w:w="114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p>
        </w:tc>
      </w:tr>
      <w:tr w:rsidR="00171D1D" w:rsidRPr="00592BA7" w:rsidTr="00592BA7">
        <w:tc>
          <w:tcPr>
            <w:tcW w:w="750" w:type="dxa"/>
            <w:vMerge w:val="restart"/>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r w:rsidRPr="00592BA7">
              <w:rPr>
                <w:rFonts w:ascii="Times New Roman" w:hAnsi="Times New Roman" w:cs="Times New Roman"/>
                <w:sz w:val="20"/>
                <w:szCs w:val="20"/>
                <w:lang w:eastAsia="zh-CN"/>
              </w:rPr>
              <w:t>1.2</w:t>
            </w:r>
          </w:p>
        </w:tc>
        <w:tc>
          <w:tcPr>
            <w:tcW w:w="2249" w:type="dxa"/>
            <w:vMerge w:val="restart"/>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r w:rsidRPr="00592BA7">
              <w:rPr>
                <w:rFonts w:ascii="Times New Roman" w:hAnsi="Times New Roman" w:cs="Times New Roman"/>
                <w:sz w:val="20"/>
                <w:szCs w:val="20"/>
                <w:lang w:eastAsia="zh-CN"/>
              </w:rPr>
              <w:t>ПС 110 кВ Саланчики</w:t>
            </w:r>
          </w:p>
        </w:tc>
        <w:tc>
          <w:tcPr>
            <w:tcW w:w="2099" w:type="dxa"/>
            <w:vMerge w:val="restart"/>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r w:rsidRPr="00592BA7">
              <w:rPr>
                <w:rFonts w:ascii="Times New Roman" w:hAnsi="Times New Roman" w:cs="Times New Roman"/>
                <w:sz w:val="20"/>
                <w:szCs w:val="20"/>
                <w:lang w:eastAsia="zh-CN"/>
              </w:rPr>
              <w:t>Т-1</w:t>
            </w:r>
          </w:p>
        </w:tc>
        <w:tc>
          <w:tcPr>
            <w:tcW w:w="984" w:type="dxa"/>
            <w:vMerge w:val="restart"/>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r w:rsidRPr="00592BA7">
              <w:rPr>
                <w:rFonts w:ascii="Times New Roman" w:hAnsi="Times New Roman" w:cs="Times New Roman"/>
                <w:sz w:val="20"/>
                <w:szCs w:val="20"/>
                <w:lang w:eastAsia="zh-CN"/>
              </w:rPr>
              <w:t>2,5</w:t>
            </w:r>
          </w:p>
        </w:tc>
        <w:tc>
          <w:tcPr>
            <w:tcW w:w="2081" w:type="dxa"/>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r w:rsidRPr="00592BA7">
              <w:rPr>
                <w:rFonts w:ascii="Times New Roman" w:hAnsi="Times New Roman" w:cs="Times New Roman"/>
                <w:sz w:val="20"/>
                <w:szCs w:val="20"/>
                <w:lang w:eastAsia="zh-CN"/>
              </w:rPr>
              <w:t>ВН</w:t>
            </w:r>
          </w:p>
        </w:tc>
        <w:tc>
          <w:tcPr>
            <w:tcW w:w="1116" w:type="dxa"/>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r w:rsidRPr="00592BA7">
              <w:rPr>
                <w:rFonts w:ascii="Times New Roman" w:hAnsi="Times New Roman" w:cs="Times New Roman"/>
                <w:sz w:val="20"/>
                <w:szCs w:val="20"/>
                <w:lang w:eastAsia="zh-CN"/>
              </w:rPr>
              <w:t>110</w:t>
            </w:r>
          </w:p>
        </w:tc>
        <w:tc>
          <w:tcPr>
            <w:tcW w:w="114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r w:rsidRPr="00592BA7">
              <w:rPr>
                <w:rFonts w:ascii="Times New Roman" w:hAnsi="Times New Roman" w:cs="Times New Roman"/>
                <w:sz w:val="20"/>
                <w:szCs w:val="20"/>
                <w:lang w:eastAsia="zh-CN"/>
              </w:rPr>
              <w:t>1983</w:t>
            </w:r>
          </w:p>
        </w:tc>
      </w:tr>
      <w:tr w:rsidR="00171D1D" w:rsidRPr="00592BA7" w:rsidTr="00592BA7">
        <w:tc>
          <w:tcPr>
            <w:tcW w:w="750" w:type="dxa"/>
            <w:vMerge/>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p>
        </w:tc>
        <w:tc>
          <w:tcPr>
            <w:tcW w:w="2249" w:type="dxa"/>
            <w:vMerge/>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p>
        </w:tc>
        <w:tc>
          <w:tcPr>
            <w:tcW w:w="2099" w:type="dxa"/>
            <w:vMerge/>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p>
        </w:tc>
        <w:tc>
          <w:tcPr>
            <w:tcW w:w="984" w:type="dxa"/>
            <w:vMerge/>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p>
        </w:tc>
        <w:tc>
          <w:tcPr>
            <w:tcW w:w="2081" w:type="dxa"/>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r w:rsidRPr="00592BA7">
              <w:rPr>
                <w:rFonts w:ascii="Times New Roman" w:hAnsi="Times New Roman" w:cs="Times New Roman"/>
                <w:sz w:val="20"/>
                <w:szCs w:val="20"/>
                <w:lang w:eastAsia="zh-CN"/>
              </w:rPr>
              <w:t>НН</w:t>
            </w:r>
          </w:p>
        </w:tc>
        <w:tc>
          <w:tcPr>
            <w:tcW w:w="1116" w:type="dxa"/>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r w:rsidRPr="00592BA7">
              <w:rPr>
                <w:rFonts w:ascii="Times New Roman" w:hAnsi="Times New Roman" w:cs="Times New Roman"/>
                <w:sz w:val="20"/>
                <w:szCs w:val="20"/>
                <w:lang w:eastAsia="zh-CN"/>
              </w:rPr>
              <w:t>11</w:t>
            </w:r>
          </w:p>
        </w:tc>
        <w:tc>
          <w:tcPr>
            <w:tcW w:w="114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p>
        </w:tc>
      </w:tr>
      <w:tr w:rsidR="00171D1D" w:rsidRPr="00592BA7" w:rsidTr="00592BA7">
        <w:tc>
          <w:tcPr>
            <w:tcW w:w="750" w:type="dxa"/>
            <w:vMerge/>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p>
        </w:tc>
        <w:tc>
          <w:tcPr>
            <w:tcW w:w="2249" w:type="dxa"/>
            <w:vMerge/>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p>
        </w:tc>
        <w:tc>
          <w:tcPr>
            <w:tcW w:w="2099" w:type="dxa"/>
            <w:vMerge/>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p>
        </w:tc>
        <w:tc>
          <w:tcPr>
            <w:tcW w:w="984" w:type="dxa"/>
            <w:vMerge/>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p>
        </w:tc>
        <w:tc>
          <w:tcPr>
            <w:tcW w:w="2081" w:type="dxa"/>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r w:rsidRPr="00592BA7">
              <w:rPr>
                <w:rFonts w:ascii="Times New Roman" w:hAnsi="Times New Roman" w:cs="Times New Roman"/>
                <w:sz w:val="20"/>
                <w:szCs w:val="20"/>
                <w:lang w:eastAsia="zh-CN"/>
              </w:rPr>
              <w:t>НН</w:t>
            </w:r>
          </w:p>
        </w:tc>
        <w:tc>
          <w:tcPr>
            <w:tcW w:w="1116" w:type="dxa"/>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r w:rsidRPr="00592BA7">
              <w:rPr>
                <w:rFonts w:ascii="Times New Roman" w:hAnsi="Times New Roman" w:cs="Times New Roman"/>
                <w:sz w:val="20"/>
                <w:szCs w:val="20"/>
                <w:lang w:eastAsia="zh-CN"/>
              </w:rPr>
              <w:t>11</w:t>
            </w:r>
          </w:p>
        </w:tc>
        <w:tc>
          <w:tcPr>
            <w:tcW w:w="114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p>
        </w:tc>
      </w:tr>
      <w:tr w:rsidR="00171D1D" w:rsidRPr="00592BA7" w:rsidTr="00592BA7">
        <w:tc>
          <w:tcPr>
            <w:tcW w:w="750" w:type="dxa"/>
            <w:vMerge w:val="restart"/>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r w:rsidRPr="00592BA7">
              <w:rPr>
                <w:rFonts w:ascii="Times New Roman" w:hAnsi="Times New Roman" w:cs="Times New Roman"/>
                <w:sz w:val="20"/>
                <w:szCs w:val="20"/>
                <w:lang w:eastAsia="zh-CN"/>
              </w:rPr>
              <w:t>1. 3</w:t>
            </w:r>
          </w:p>
        </w:tc>
        <w:tc>
          <w:tcPr>
            <w:tcW w:w="2249" w:type="dxa"/>
            <w:vMerge w:val="restart"/>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r w:rsidRPr="00592BA7">
              <w:rPr>
                <w:rFonts w:ascii="Times New Roman" w:hAnsi="Times New Roman" w:cs="Times New Roman"/>
                <w:sz w:val="20"/>
                <w:szCs w:val="20"/>
                <w:lang w:eastAsia="zh-CN"/>
              </w:rPr>
              <w:t>ПС 110 кВ Ходары</w:t>
            </w:r>
          </w:p>
        </w:tc>
        <w:tc>
          <w:tcPr>
            <w:tcW w:w="2099" w:type="dxa"/>
            <w:vMerge w:val="restart"/>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r w:rsidRPr="00592BA7">
              <w:rPr>
                <w:rFonts w:ascii="Times New Roman" w:hAnsi="Times New Roman" w:cs="Times New Roman"/>
                <w:sz w:val="20"/>
                <w:szCs w:val="20"/>
                <w:lang w:eastAsia="zh-CN"/>
              </w:rPr>
              <w:t>Т-1</w:t>
            </w:r>
          </w:p>
        </w:tc>
        <w:tc>
          <w:tcPr>
            <w:tcW w:w="984" w:type="dxa"/>
            <w:vMerge w:val="restart"/>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r w:rsidRPr="00592BA7">
              <w:rPr>
                <w:rFonts w:ascii="Times New Roman" w:hAnsi="Times New Roman" w:cs="Times New Roman"/>
                <w:sz w:val="20"/>
                <w:szCs w:val="20"/>
                <w:lang w:eastAsia="zh-CN"/>
              </w:rPr>
              <w:t>6,3</w:t>
            </w:r>
          </w:p>
        </w:tc>
        <w:tc>
          <w:tcPr>
            <w:tcW w:w="2081" w:type="dxa"/>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r w:rsidRPr="00592BA7">
              <w:rPr>
                <w:rFonts w:ascii="Times New Roman" w:hAnsi="Times New Roman" w:cs="Times New Roman"/>
                <w:sz w:val="20"/>
                <w:szCs w:val="20"/>
                <w:lang w:eastAsia="zh-CN"/>
              </w:rPr>
              <w:t>ВН</w:t>
            </w:r>
          </w:p>
        </w:tc>
        <w:tc>
          <w:tcPr>
            <w:tcW w:w="1116" w:type="dxa"/>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r w:rsidRPr="00592BA7">
              <w:rPr>
                <w:rFonts w:ascii="Times New Roman" w:hAnsi="Times New Roman" w:cs="Times New Roman"/>
                <w:sz w:val="20"/>
                <w:szCs w:val="20"/>
                <w:lang w:eastAsia="zh-CN"/>
              </w:rPr>
              <w:t>110</w:t>
            </w:r>
          </w:p>
        </w:tc>
        <w:tc>
          <w:tcPr>
            <w:tcW w:w="114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r w:rsidRPr="00592BA7">
              <w:rPr>
                <w:rFonts w:ascii="Times New Roman" w:hAnsi="Times New Roman" w:cs="Times New Roman"/>
                <w:sz w:val="20"/>
                <w:szCs w:val="20"/>
                <w:lang w:eastAsia="zh-CN"/>
              </w:rPr>
              <w:t>1986</w:t>
            </w:r>
          </w:p>
        </w:tc>
      </w:tr>
      <w:tr w:rsidR="00171D1D" w:rsidRPr="00592BA7" w:rsidTr="00592BA7">
        <w:tc>
          <w:tcPr>
            <w:tcW w:w="750" w:type="dxa"/>
            <w:vMerge/>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p>
        </w:tc>
        <w:tc>
          <w:tcPr>
            <w:tcW w:w="2249" w:type="dxa"/>
            <w:vMerge/>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p>
        </w:tc>
        <w:tc>
          <w:tcPr>
            <w:tcW w:w="2099" w:type="dxa"/>
            <w:vMerge/>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p>
        </w:tc>
        <w:tc>
          <w:tcPr>
            <w:tcW w:w="984" w:type="dxa"/>
            <w:vMerge/>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p>
        </w:tc>
        <w:tc>
          <w:tcPr>
            <w:tcW w:w="2081" w:type="dxa"/>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r w:rsidRPr="00592BA7">
              <w:rPr>
                <w:rFonts w:ascii="Times New Roman" w:hAnsi="Times New Roman" w:cs="Times New Roman"/>
                <w:sz w:val="20"/>
                <w:szCs w:val="20"/>
                <w:lang w:eastAsia="zh-CN"/>
              </w:rPr>
              <w:t>НН</w:t>
            </w:r>
          </w:p>
        </w:tc>
        <w:tc>
          <w:tcPr>
            <w:tcW w:w="1116" w:type="dxa"/>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r w:rsidRPr="00592BA7">
              <w:rPr>
                <w:rFonts w:ascii="Times New Roman" w:hAnsi="Times New Roman" w:cs="Times New Roman"/>
                <w:sz w:val="20"/>
                <w:szCs w:val="20"/>
                <w:lang w:eastAsia="zh-CN"/>
              </w:rPr>
              <w:t>11</w:t>
            </w:r>
          </w:p>
        </w:tc>
        <w:tc>
          <w:tcPr>
            <w:tcW w:w="114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p>
        </w:tc>
      </w:tr>
      <w:tr w:rsidR="00171D1D" w:rsidRPr="00592BA7" w:rsidTr="00592BA7">
        <w:tc>
          <w:tcPr>
            <w:tcW w:w="750" w:type="dxa"/>
            <w:vMerge/>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p>
        </w:tc>
        <w:tc>
          <w:tcPr>
            <w:tcW w:w="2249" w:type="dxa"/>
            <w:vMerge/>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p>
        </w:tc>
        <w:tc>
          <w:tcPr>
            <w:tcW w:w="2099" w:type="dxa"/>
            <w:vMerge w:val="restart"/>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r w:rsidRPr="00592BA7">
              <w:rPr>
                <w:rFonts w:ascii="Times New Roman" w:hAnsi="Times New Roman" w:cs="Times New Roman"/>
                <w:sz w:val="20"/>
                <w:szCs w:val="20"/>
                <w:lang w:eastAsia="zh-CN"/>
              </w:rPr>
              <w:t>Т-2</w:t>
            </w:r>
          </w:p>
        </w:tc>
        <w:tc>
          <w:tcPr>
            <w:tcW w:w="984" w:type="dxa"/>
            <w:vMerge w:val="restart"/>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r w:rsidRPr="00592BA7">
              <w:rPr>
                <w:rFonts w:ascii="Times New Roman" w:hAnsi="Times New Roman" w:cs="Times New Roman"/>
                <w:sz w:val="20"/>
                <w:szCs w:val="20"/>
                <w:lang w:eastAsia="zh-CN"/>
              </w:rPr>
              <w:t>6,3</w:t>
            </w:r>
          </w:p>
        </w:tc>
        <w:tc>
          <w:tcPr>
            <w:tcW w:w="2081" w:type="dxa"/>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r w:rsidRPr="00592BA7">
              <w:rPr>
                <w:rFonts w:ascii="Times New Roman" w:hAnsi="Times New Roman" w:cs="Times New Roman"/>
                <w:sz w:val="20"/>
                <w:szCs w:val="20"/>
                <w:lang w:eastAsia="zh-CN"/>
              </w:rPr>
              <w:t>ВН</w:t>
            </w:r>
          </w:p>
        </w:tc>
        <w:tc>
          <w:tcPr>
            <w:tcW w:w="1116" w:type="dxa"/>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r w:rsidRPr="00592BA7">
              <w:rPr>
                <w:rFonts w:ascii="Times New Roman" w:hAnsi="Times New Roman" w:cs="Times New Roman"/>
                <w:sz w:val="20"/>
                <w:szCs w:val="20"/>
                <w:lang w:eastAsia="zh-CN"/>
              </w:rPr>
              <w:t>115</w:t>
            </w:r>
          </w:p>
        </w:tc>
        <w:tc>
          <w:tcPr>
            <w:tcW w:w="114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r w:rsidRPr="00592BA7">
              <w:rPr>
                <w:rFonts w:ascii="Times New Roman" w:hAnsi="Times New Roman" w:cs="Times New Roman"/>
                <w:sz w:val="20"/>
                <w:szCs w:val="20"/>
                <w:lang w:eastAsia="zh-CN"/>
              </w:rPr>
              <w:t>1982</w:t>
            </w:r>
          </w:p>
        </w:tc>
      </w:tr>
      <w:tr w:rsidR="00171D1D" w:rsidRPr="00592BA7" w:rsidTr="00592BA7">
        <w:tc>
          <w:tcPr>
            <w:tcW w:w="750" w:type="dxa"/>
            <w:vMerge/>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p>
        </w:tc>
        <w:tc>
          <w:tcPr>
            <w:tcW w:w="2249" w:type="dxa"/>
            <w:vMerge/>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p>
        </w:tc>
        <w:tc>
          <w:tcPr>
            <w:tcW w:w="2099" w:type="dxa"/>
            <w:vMerge/>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p>
        </w:tc>
        <w:tc>
          <w:tcPr>
            <w:tcW w:w="984" w:type="dxa"/>
            <w:vMerge/>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p>
        </w:tc>
        <w:tc>
          <w:tcPr>
            <w:tcW w:w="2081" w:type="dxa"/>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r w:rsidRPr="00592BA7">
              <w:rPr>
                <w:rFonts w:ascii="Times New Roman" w:hAnsi="Times New Roman" w:cs="Times New Roman"/>
                <w:sz w:val="20"/>
                <w:szCs w:val="20"/>
                <w:lang w:eastAsia="zh-CN"/>
              </w:rPr>
              <w:t>НН</w:t>
            </w:r>
          </w:p>
        </w:tc>
        <w:tc>
          <w:tcPr>
            <w:tcW w:w="1116" w:type="dxa"/>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r w:rsidRPr="00592BA7">
              <w:rPr>
                <w:rFonts w:ascii="Times New Roman" w:hAnsi="Times New Roman" w:cs="Times New Roman"/>
                <w:sz w:val="20"/>
                <w:szCs w:val="20"/>
                <w:lang w:eastAsia="zh-CN"/>
              </w:rPr>
              <w:t>11</w:t>
            </w:r>
          </w:p>
        </w:tc>
        <w:tc>
          <w:tcPr>
            <w:tcW w:w="114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p>
        </w:tc>
      </w:tr>
      <w:tr w:rsidR="00171D1D" w:rsidRPr="00592BA7" w:rsidTr="00592BA7">
        <w:tc>
          <w:tcPr>
            <w:tcW w:w="750" w:type="dxa"/>
            <w:vMerge w:val="restart"/>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r w:rsidRPr="00592BA7">
              <w:rPr>
                <w:rFonts w:ascii="Times New Roman" w:hAnsi="Times New Roman" w:cs="Times New Roman"/>
                <w:sz w:val="20"/>
                <w:szCs w:val="20"/>
                <w:lang w:eastAsia="zh-CN"/>
              </w:rPr>
              <w:t>1. 4</w:t>
            </w:r>
          </w:p>
        </w:tc>
        <w:tc>
          <w:tcPr>
            <w:tcW w:w="2249" w:type="dxa"/>
            <w:vMerge w:val="restart"/>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r w:rsidRPr="00592BA7">
              <w:rPr>
                <w:rFonts w:ascii="Times New Roman" w:hAnsi="Times New Roman" w:cs="Times New Roman"/>
                <w:sz w:val="20"/>
                <w:szCs w:val="20"/>
                <w:lang w:eastAsia="zh-CN"/>
              </w:rPr>
              <w:t>ПС 110 кВ Шумерля</w:t>
            </w:r>
          </w:p>
        </w:tc>
        <w:tc>
          <w:tcPr>
            <w:tcW w:w="2099" w:type="dxa"/>
            <w:vMerge w:val="restart"/>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r w:rsidRPr="00592BA7">
              <w:rPr>
                <w:rFonts w:ascii="Times New Roman" w:hAnsi="Times New Roman" w:cs="Times New Roman"/>
                <w:sz w:val="20"/>
                <w:szCs w:val="20"/>
                <w:lang w:eastAsia="zh-CN"/>
              </w:rPr>
              <w:t>Т-1</w:t>
            </w:r>
          </w:p>
        </w:tc>
        <w:tc>
          <w:tcPr>
            <w:tcW w:w="984" w:type="dxa"/>
            <w:vMerge w:val="restart"/>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r w:rsidRPr="00592BA7">
              <w:rPr>
                <w:rFonts w:ascii="Times New Roman" w:hAnsi="Times New Roman" w:cs="Times New Roman"/>
                <w:sz w:val="20"/>
                <w:szCs w:val="20"/>
                <w:lang w:eastAsia="zh-CN"/>
              </w:rPr>
              <w:t>15,0</w:t>
            </w:r>
          </w:p>
        </w:tc>
        <w:tc>
          <w:tcPr>
            <w:tcW w:w="2081" w:type="dxa"/>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r w:rsidRPr="00592BA7">
              <w:rPr>
                <w:rFonts w:ascii="Times New Roman" w:hAnsi="Times New Roman" w:cs="Times New Roman"/>
                <w:sz w:val="20"/>
                <w:szCs w:val="20"/>
                <w:lang w:eastAsia="zh-CN"/>
              </w:rPr>
              <w:t>ВН</w:t>
            </w:r>
          </w:p>
        </w:tc>
        <w:tc>
          <w:tcPr>
            <w:tcW w:w="1116" w:type="dxa"/>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r w:rsidRPr="00592BA7">
              <w:rPr>
                <w:rFonts w:ascii="Times New Roman" w:hAnsi="Times New Roman" w:cs="Times New Roman"/>
                <w:sz w:val="20"/>
                <w:szCs w:val="20"/>
                <w:lang w:eastAsia="zh-CN"/>
              </w:rPr>
              <w:t>110</w:t>
            </w:r>
          </w:p>
        </w:tc>
        <w:tc>
          <w:tcPr>
            <w:tcW w:w="114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r w:rsidRPr="00592BA7">
              <w:rPr>
                <w:rFonts w:ascii="Times New Roman" w:hAnsi="Times New Roman" w:cs="Times New Roman"/>
                <w:sz w:val="20"/>
                <w:szCs w:val="20"/>
                <w:lang w:eastAsia="zh-CN"/>
              </w:rPr>
              <w:t>1963</w:t>
            </w:r>
          </w:p>
        </w:tc>
      </w:tr>
      <w:tr w:rsidR="00171D1D" w:rsidRPr="00592BA7" w:rsidTr="00592BA7">
        <w:tc>
          <w:tcPr>
            <w:tcW w:w="750" w:type="dxa"/>
            <w:vMerge/>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p>
        </w:tc>
        <w:tc>
          <w:tcPr>
            <w:tcW w:w="2249" w:type="dxa"/>
            <w:vMerge/>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p>
        </w:tc>
        <w:tc>
          <w:tcPr>
            <w:tcW w:w="2099" w:type="dxa"/>
            <w:vMerge/>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p>
        </w:tc>
        <w:tc>
          <w:tcPr>
            <w:tcW w:w="984" w:type="dxa"/>
            <w:vMerge/>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p>
        </w:tc>
        <w:tc>
          <w:tcPr>
            <w:tcW w:w="2081" w:type="dxa"/>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r w:rsidRPr="00592BA7">
              <w:rPr>
                <w:rFonts w:ascii="Times New Roman" w:hAnsi="Times New Roman" w:cs="Times New Roman"/>
                <w:sz w:val="20"/>
                <w:szCs w:val="20"/>
                <w:lang w:eastAsia="zh-CN"/>
              </w:rPr>
              <w:t>СН</w:t>
            </w:r>
          </w:p>
        </w:tc>
        <w:tc>
          <w:tcPr>
            <w:tcW w:w="1116" w:type="dxa"/>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r w:rsidRPr="00592BA7">
              <w:rPr>
                <w:rFonts w:ascii="Times New Roman" w:hAnsi="Times New Roman" w:cs="Times New Roman"/>
                <w:sz w:val="20"/>
                <w:szCs w:val="20"/>
                <w:lang w:eastAsia="zh-CN"/>
              </w:rPr>
              <w:t>35</w:t>
            </w:r>
          </w:p>
        </w:tc>
        <w:tc>
          <w:tcPr>
            <w:tcW w:w="114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p>
        </w:tc>
      </w:tr>
      <w:tr w:rsidR="00171D1D" w:rsidRPr="00592BA7" w:rsidTr="00592BA7">
        <w:tc>
          <w:tcPr>
            <w:tcW w:w="750" w:type="dxa"/>
            <w:vMerge/>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p>
        </w:tc>
        <w:tc>
          <w:tcPr>
            <w:tcW w:w="2249" w:type="dxa"/>
            <w:vMerge/>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p>
        </w:tc>
        <w:tc>
          <w:tcPr>
            <w:tcW w:w="2099" w:type="dxa"/>
            <w:vMerge/>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p>
        </w:tc>
        <w:tc>
          <w:tcPr>
            <w:tcW w:w="984" w:type="dxa"/>
            <w:vMerge/>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p>
        </w:tc>
        <w:tc>
          <w:tcPr>
            <w:tcW w:w="2081" w:type="dxa"/>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r w:rsidRPr="00592BA7">
              <w:rPr>
                <w:rFonts w:ascii="Times New Roman" w:hAnsi="Times New Roman" w:cs="Times New Roman"/>
                <w:sz w:val="20"/>
                <w:szCs w:val="20"/>
                <w:lang w:eastAsia="zh-CN"/>
              </w:rPr>
              <w:t>НН</w:t>
            </w:r>
          </w:p>
        </w:tc>
        <w:tc>
          <w:tcPr>
            <w:tcW w:w="1116" w:type="dxa"/>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r w:rsidRPr="00592BA7">
              <w:rPr>
                <w:rFonts w:ascii="Times New Roman" w:hAnsi="Times New Roman" w:cs="Times New Roman"/>
                <w:sz w:val="20"/>
                <w:szCs w:val="20"/>
                <w:lang w:eastAsia="zh-CN"/>
              </w:rPr>
              <w:t>6,6</w:t>
            </w:r>
          </w:p>
        </w:tc>
        <w:tc>
          <w:tcPr>
            <w:tcW w:w="114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p>
        </w:tc>
      </w:tr>
      <w:tr w:rsidR="00171D1D" w:rsidRPr="00592BA7" w:rsidTr="00592BA7">
        <w:tc>
          <w:tcPr>
            <w:tcW w:w="750" w:type="dxa"/>
            <w:vMerge/>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p>
        </w:tc>
        <w:tc>
          <w:tcPr>
            <w:tcW w:w="2249" w:type="dxa"/>
            <w:vMerge/>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p>
        </w:tc>
        <w:tc>
          <w:tcPr>
            <w:tcW w:w="2099" w:type="dxa"/>
            <w:vMerge w:val="restart"/>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r w:rsidRPr="00592BA7">
              <w:rPr>
                <w:rFonts w:ascii="Times New Roman" w:hAnsi="Times New Roman" w:cs="Times New Roman"/>
                <w:sz w:val="20"/>
                <w:szCs w:val="20"/>
                <w:lang w:eastAsia="zh-CN"/>
              </w:rPr>
              <w:t>Т-2</w:t>
            </w:r>
          </w:p>
        </w:tc>
        <w:tc>
          <w:tcPr>
            <w:tcW w:w="984" w:type="dxa"/>
            <w:vMerge w:val="restart"/>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r w:rsidRPr="00592BA7">
              <w:rPr>
                <w:rFonts w:ascii="Times New Roman" w:hAnsi="Times New Roman" w:cs="Times New Roman"/>
                <w:sz w:val="20"/>
                <w:szCs w:val="20"/>
                <w:lang w:eastAsia="zh-CN"/>
              </w:rPr>
              <w:t>6,3</w:t>
            </w:r>
          </w:p>
        </w:tc>
        <w:tc>
          <w:tcPr>
            <w:tcW w:w="2081" w:type="dxa"/>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r w:rsidRPr="00592BA7">
              <w:rPr>
                <w:rFonts w:ascii="Times New Roman" w:hAnsi="Times New Roman" w:cs="Times New Roman"/>
                <w:sz w:val="20"/>
                <w:szCs w:val="20"/>
                <w:lang w:eastAsia="zh-CN"/>
              </w:rPr>
              <w:t>ВН</w:t>
            </w:r>
          </w:p>
        </w:tc>
        <w:tc>
          <w:tcPr>
            <w:tcW w:w="1116" w:type="dxa"/>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r w:rsidRPr="00592BA7">
              <w:rPr>
                <w:rFonts w:ascii="Times New Roman" w:hAnsi="Times New Roman" w:cs="Times New Roman"/>
                <w:sz w:val="20"/>
                <w:szCs w:val="20"/>
                <w:lang w:eastAsia="zh-CN"/>
              </w:rPr>
              <w:t>115</w:t>
            </w:r>
          </w:p>
        </w:tc>
        <w:tc>
          <w:tcPr>
            <w:tcW w:w="114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r w:rsidRPr="00592BA7">
              <w:rPr>
                <w:rFonts w:ascii="Times New Roman" w:hAnsi="Times New Roman" w:cs="Times New Roman"/>
                <w:sz w:val="20"/>
                <w:szCs w:val="20"/>
                <w:lang w:eastAsia="zh-CN"/>
              </w:rPr>
              <w:t>2010</w:t>
            </w:r>
          </w:p>
        </w:tc>
      </w:tr>
      <w:tr w:rsidR="00171D1D" w:rsidRPr="00592BA7" w:rsidTr="00592BA7">
        <w:tc>
          <w:tcPr>
            <w:tcW w:w="750" w:type="dxa"/>
            <w:vMerge/>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p>
        </w:tc>
        <w:tc>
          <w:tcPr>
            <w:tcW w:w="2249" w:type="dxa"/>
            <w:vMerge/>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p>
        </w:tc>
        <w:tc>
          <w:tcPr>
            <w:tcW w:w="2099" w:type="dxa"/>
            <w:vMerge/>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p>
        </w:tc>
        <w:tc>
          <w:tcPr>
            <w:tcW w:w="984" w:type="dxa"/>
            <w:vMerge/>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p>
        </w:tc>
        <w:tc>
          <w:tcPr>
            <w:tcW w:w="2081" w:type="dxa"/>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r w:rsidRPr="00592BA7">
              <w:rPr>
                <w:rFonts w:ascii="Times New Roman" w:hAnsi="Times New Roman" w:cs="Times New Roman"/>
                <w:sz w:val="20"/>
                <w:szCs w:val="20"/>
                <w:lang w:eastAsia="zh-CN"/>
              </w:rPr>
              <w:t>НН</w:t>
            </w:r>
          </w:p>
        </w:tc>
        <w:tc>
          <w:tcPr>
            <w:tcW w:w="1116" w:type="dxa"/>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r w:rsidRPr="00592BA7">
              <w:rPr>
                <w:rFonts w:ascii="Times New Roman" w:hAnsi="Times New Roman" w:cs="Times New Roman"/>
                <w:sz w:val="20"/>
                <w:szCs w:val="20"/>
                <w:lang w:eastAsia="zh-CN"/>
              </w:rPr>
              <w:t>6,6</w:t>
            </w:r>
          </w:p>
        </w:tc>
        <w:tc>
          <w:tcPr>
            <w:tcW w:w="114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p>
        </w:tc>
      </w:tr>
    </w:tbl>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Остаточный ресурс.</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По результатам анализа состояния электрических сетей, выявлены их достаточная надёжность и эффективность.</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Ограничения использования мощностей</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Анализ технического состояния источников электроснабжения не выявил ограничения использования мощностей.</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Качество эксплуатации, наладки и ремонтов</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Качество эксплуатации, наладки и ремонтов источников электроснабжения удовлетворяет требованиям «Правил технической эксплуатации электроустановок потребителей»3 и «Правил технической эксплуатации электрических станций и сетей Российской Федерации». </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Системы учета ресурсов</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Доля поставки электроэнергии потребителям по приборам учета составляет 100%.</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Расход ресурсов</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Суммарное фактическое количество электроэнергии, отпущенной за 2023 год, по населению, бюджетофинансируемым организациям, промышленным предприятиям и прочим потребителям не представлено.</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Имеющиеся проблемы и направления их решения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Проблемы в эксплуатации имеющихся источников электроснабжения отсутствуют.</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3.1.2.2. Анализ эффективности и надежности имеющихся сетей, имеющиеся проблемы и направления их решения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Имеющаяся сеть энергоснабжения позволяет обеспечить население и прочие объекты достаточным количеством электроэнергии.</w:t>
      </w:r>
    </w:p>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По территории Шумерлинского муниципального округа проходят:</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ВЛ 220 кВ Чебоксарская гидроэлектростанция - Венец с отпайкой на электрическую подстанцию компрессорной станции "Чебоксарская";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ВЛ 110 кВ Алгаши-Кожевенное;</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ВЛ 110 кВ Шумерля - Алгаши;</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ВЛ 110 кВ. Шумерля-Красные Четаи;</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ВЛ 110 кВ Канаш-Вурнары-Шумерля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ВЛ 110 кВ Канаш-Шумерля 1 с отпайкой ВЛ-110 кВ на ПС «Ходарская» и трассой ВЛ-110 кВ от ПС Шумерлинская до ПС «Венец»;</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ВЛ-110 кВ "Заволжская-Яндоба, Яндоба-Аликово, Венец-Аликово".</w:t>
      </w:r>
    </w:p>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Распределение электроэнергии между потребителями осуществляется на напряжении 0,4 кВ.</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Резервирование </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Резервирование электрических сетей отсутствует.</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Применяемые графики работы</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Применяемый график работы системы электроснабжения – круглосуточный. Обоснованность подобного графика работы системы электроснабжения объясняется выполнением требований бесперебойного предоставления электроэнергии потребителям. Графики временного отключения, ограничения мощности и электроэнергии утверждены в установленном порядке и строго соблюдается организацией.</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Статистика отказов и среднего времени восстановления работы</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Данные о статистике отказов и времени восстановления работы электрических сетей не представлены.</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Качество эксплуатации</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Качество эксплуатации электросетей удовлетворяет требованиям «Правил технической эксплуатации электрических станций и сетей Российской Федерации» утверждённым Приказом Минэнерго России от 04.10.2022 N 1070 "Об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 (Зарегистрировано в Минюсте России 06.12.2022 N 71384).</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Безопасность работы системы электроснабжения обеспечивается за счёт реализации комплекса мер, учитывающих:</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 общие требования безопасности;</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функции систем безопасности, зависящие от электроснабжения;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электробезопасность;</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пожарную безопасность;</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информационную безопасность (сохранность информации, предотвращение несанкционированного доступа по цепям питания, защита от преднамеренного воздействия на цепи питания).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Кроме того, в целях осуществления мер, направленных на обеспечение безопасного функционирования электроэнергетики и предотвращения возникновения аварийных ситуаций, на территории муниципального округа организовано оперативно-диспетчерское управление. Все необходимые мероприятия по реконструкции, ремонту и пусконаладочным работам на объектах электросетевого хозяйства производятся в соответствии с утвержденными графиками ППР и инвестиционной программе. В случае возникновения отказов на участках электрических сетей принимаются все необходимые меры по восстановлению электроснабжения в кратчайшие сроки.</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Качество диспетчеризации</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Для оперативного реагирования и решения аварийных ситуаций создана Единая дежурно-диспетчерская служба. Приём заявок производится круглосуточно. Диспетчер обеспечивает выезд оперативно-выездных бригад по заявкам потребителей и осуществляет контрольные мероприятия. На объекты электросетевого хозяйства отправляется оперативно-выездная группа.</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Перечень выявленных бесхозяйных электрических сетей и обоснование выбора организации, уполномоченной на их эксплуатацию</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Бесхозяйные сети на территории муниципального округа отсутствуют.</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Имеющиеся проблемы и направления их решения</w:t>
      </w:r>
    </w:p>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Анализ системы электроснабжения выявил, что для электроснабжения Шумерлинского муниципального округа должна быть разработана отдельная схема электроснабжения на основе Схемы перспективного развития электрических сетей Чувашской Республики с учетом анализа роста перспективных электрических нагрузок.</w:t>
      </w:r>
    </w:p>
    <w:p w:rsidR="00171D1D" w:rsidRPr="00592BA7" w:rsidRDefault="00171D1D" w:rsidP="00592BA7">
      <w:pPr>
        <w:jc w:val="both"/>
        <w:rPr>
          <w:rFonts w:ascii="Times New Roman" w:hAnsi="Times New Roman" w:cs="Times New Roman"/>
          <w:sz w:val="20"/>
          <w:szCs w:val="20"/>
        </w:rPr>
      </w:pP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3.1.2.3. Анализ зон действия источников электроснабжения и их рациональности, имеющиеся проблемы и направления их решения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Зона действия источников электроснабжения охватывает полностью муниципальный округ.</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3.1.2.4. Анализ имеющихся резервов и дефицитов мощности в системе электроснабжения и ожидаемых резервов, и дефицитов</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Для территории муниципального округа имеется резерв мощности, позволяющий производить технологическое присоединение объектов как существующих, так и запланированных к строительству.</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3.1.2.5. Анализ показателей готовности системы электроснабжения, имеющиеся проблемы и направления их решения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Показатели готовности системы электроснабжения определяются в целом для филиалов электросетевых компаний без разбивки по населенным пунктам. Проблемы в части показателей готовности системы электроснабжения отсутствуют.</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3.1.2.6. Воздействие на окружающую среду, имеющиеся проблемы и направления их решения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Анализ выбросов, сбросов, шумовых воздействий</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Понижающие станции, расположенные на территории муниципального образования, не оказывают воздействия на окружающую среду, прочие генерирующие источники электроснабжения отсутствуют, соответственно, вредное воздействие на экологию со стороны объектов электроснабжения ограничивается воздействием при строительстве и воздействием при утилизации демонтированного оборудования и расходных материалов.</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При строительстве объектов энергетики происходит вырубка лесов (просеки под трассы линий электропередач), нарушение почв (земляные работы), нарушение естественной формы водоемов (отсыпки). Элементы системы электроснабжения, оказывающие воздействие на окружающую среду после истечения нормативного срока эксплуатации:</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масляные силовые трансформаторы и высоковольтные масляные выключатели;</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аккумуляторные батареи;</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масляные кабели.</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Для снижения выбросов ЗВ в атмосферу в процессе строительства выполняются: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своевременный техосмотр и техобслуживание техники, проводить контроль за токсичностью выхлопных газов;</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сокращаются нерациональные и «холостые» пробеги автотранспорта путем планирования маршрута.</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Определяющим условием минимального загрязнения атмосферы отработавшими газами двигателей автомобилей является правильная их эксплуатация.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Проблемы и направления их решения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Для снижения площади лесов, уничтожаемых при строительстве объектов электроэнергетики, необходимо соблюдать нормативную ширину охранных зон линий электропередач при строительстве либо занижать ее в допустимых пределах, принимая ее величину минимально допустимой для условий стесненной прокладки.</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Для снижения вредного воздействия на почвы при строительстве необходимо соблюдать технологию строительства, установленную нормативной документацией для данного климатического района. Масляные силовые трансформаторы и высоковольтные масляные выключатели несут опасность разлива масла и вероятность попадания его в почву и воду. Во избежание разливов необходимо соблюдать все требования техники безопасности при осуществлении ремонтов, замены масла и т.д. Необходима правильная утилизация масла и отработавших трансформаторов и выключателей.</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Для исключения опасности нанесения ущерба окружающей среде возможно применение сухих трансформаторов и вакуумных выключателей вместо масляных. Эксплуатация аккумуляторных батарей сопровождается испарением электролита, что представляет опасность для здоровья людей. Также аккумуляторные батареи несут опасность разлива электролита и попадания его в почву и воду. Во избежание нанесения ущерба окружающей среде необходима правильная утилизация отработавших аккумуляторных батарей.</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Масляные кабели по истечении срока эксплуатации остаются в земле, и при дальнейшем старении происходит разрушение изоляции и попадание масла в почву.</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Для предотвращения данного воздействия необходимо использовать кабели с пластмассовой изоляцией, либо с изоляцией из сшитого полиэтилена.</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3.1.3. Анализ финансового состояния организаций коммунального комплекса, тарифов на коммунальные ресурсы, платежей и задолженности потребителей за предоставленные ресурсы</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Таблица 3.1.3.1</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Финансовые показатели деятельности ПАО «Россети Волга»</w:t>
      </w:r>
    </w:p>
    <w:tbl>
      <w:tblPr>
        <w:tblW w:w="9634" w:type="dxa"/>
        <w:tblLook w:val="04A0" w:firstRow="1" w:lastRow="0" w:firstColumn="1" w:lastColumn="0" w:noHBand="0" w:noVBand="1"/>
      </w:tblPr>
      <w:tblGrid>
        <w:gridCol w:w="6091"/>
        <w:gridCol w:w="1771"/>
        <w:gridCol w:w="1772"/>
      </w:tblGrid>
      <w:tr w:rsidR="00171D1D" w:rsidRPr="00592BA7" w:rsidTr="00592BA7">
        <w:tc>
          <w:tcPr>
            <w:tcW w:w="6091"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Наименование показателя</w:t>
            </w:r>
          </w:p>
        </w:tc>
        <w:tc>
          <w:tcPr>
            <w:tcW w:w="1771"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За январь-март 2024 года</w:t>
            </w:r>
          </w:p>
        </w:tc>
        <w:tc>
          <w:tcPr>
            <w:tcW w:w="1772"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За январь-март 2023 года</w:t>
            </w:r>
          </w:p>
        </w:tc>
      </w:tr>
      <w:tr w:rsidR="00171D1D" w:rsidRPr="00592BA7" w:rsidTr="00592BA7">
        <w:tc>
          <w:tcPr>
            <w:tcW w:w="6091"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Доходы и расходы по обычным видам деятельности</w:t>
            </w:r>
          </w:p>
        </w:tc>
        <w:tc>
          <w:tcPr>
            <w:tcW w:w="1771" w:type="dxa"/>
            <w:vAlign w:val="center"/>
          </w:tcPr>
          <w:p w:rsidR="00171D1D" w:rsidRPr="00592BA7" w:rsidRDefault="00171D1D" w:rsidP="00592BA7">
            <w:pPr>
              <w:jc w:val="both"/>
              <w:rPr>
                <w:rFonts w:ascii="Times New Roman" w:hAnsi="Times New Roman" w:cs="Times New Roman"/>
                <w:sz w:val="20"/>
                <w:szCs w:val="20"/>
              </w:rPr>
            </w:pPr>
          </w:p>
        </w:tc>
        <w:tc>
          <w:tcPr>
            <w:tcW w:w="1772" w:type="dxa"/>
            <w:vAlign w:val="center"/>
          </w:tcPr>
          <w:p w:rsidR="00171D1D" w:rsidRPr="00592BA7" w:rsidRDefault="00171D1D" w:rsidP="00592BA7">
            <w:pPr>
              <w:jc w:val="both"/>
              <w:rPr>
                <w:rFonts w:ascii="Times New Roman" w:hAnsi="Times New Roman" w:cs="Times New Roman"/>
                <w:sz w:val="20"/>
                <w:szCs w:val="20"/>
              </w:rPr>
            </w:pPr>
          </w:p>
        </w:tc>
      </w:tr>
      <w:tr w:rsidR="00171D1D" w:rsidRPr="00592BA7" w:rsidTr="00592BA7">
        <w:tc>
          <w:tcPr>
            <w:tcW w:w="6091"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Выручка </w:t>
            </w:r>
          </w:p>
        </w:tc>
        <w:tc>
          <w:tcPr>
            <w:tcW w:w="1771"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20 688 739</w:t>
            </w:r>
          </w:p>
        </w:tc>
        <w:tc>
          <w:tcPr>
            <w:tcW w:w="1772"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20 124 192</w:t>
            </w:r>
          </w:p>
        </w:tc>
      </w:tr>
      <w:tr w:rsidR="00171D1D" w:rsidRPr="00592BA7" w:rsidTr="00592BA7">
        <w:tc>
          <w:tcPr>
            <w:tcW w:w="6091"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Себестоимость проданных товаров, продукции, работ, услуг</w:t>
            </w:r>
          </w:p>
        </w:tc>
        <w:tc>
          <w:tcPr>
            <w:tcW w:w="1771"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(18 846 881)</w:t>
            </w:r>
          </w:p>
        </w:tc>
        <w:tc>
          <w:tcPr>
            <w:tcW w:w="1772"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(18 366 945)</w:t>
            </w:r>
          </w:p>
        </w:tc>
      </w:tr>
      <w:tr w:rsidR="00171D1D" w:rsidRPr="00592BA7" w:rsidTr="00592BA7">
        <w:trPr>
          <w:trHeight w:val="64"/>
        </w:trPr>
        <w:tc>
          <w:tcPr>
            <w:tcW w:w="6091"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Валовая прибыль</w:t>
            </w:r>
          </w:p>
        </w:tc>
        <w:tc>
          <w:tcPr>
            <w:tcW w:w="1771"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1 841 858</w:t>
            </w:r>
          </w:p>
        </w:tc>
        <w:tc>
          <w:tcPr>
            <w:tcW w:w="1772"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1 757 247</w:t>
            </w:r>
          </w:p>
        </w:tc>
      </w:tr>
      <w:tr w:rsidR="00171D1D" w:rsidRPr="00592BA7" w:rsidTr="00592BA7">
        <w:tc>
          <w:tcPr>
            <w:tcW w:w="6091"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Коммерческие расходы</w:t>
            </w:r>
          </w:p>
        </w:tc>
        <w:tc>
          <w:tcPr>
            <w:tcW w:w="1771"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c>
          <w:tcPr>
            <w:tcW w:w="1772"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r>
      <w:tr w:rsidR="00171D1D" w:rsidRPr="00592BA7" w:rsidTr="00592BA7">
        <w:tc>
          <w:tcPr>
            <w:tcW w:w="6091"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Управленческие расходы</w:t>
            </w:r>
          </w:p>
        </w:tc>
        <w:tc>
          <w:tcPr>
            <w:tcW w:w="1771"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441 157</w:t>
            </w:r>
          </w:p>
        </w:tc>
        <w:tc>
          <w:tcPr>
            <w:tcW w:w="1772"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298 342</w:t>
            </w:r>
          </w:p>
        </w:tc>
      </w:tr>
      <w:tr w:rsidR="00171D1D" w:rsidRPr="00592BA7" w:rsidTr="00592BA7">
        <w:tc>
          <w:tcPr>
            <w:tcW w:w="6091"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Прибыль (убыток) от продаж </w:t>
            </w:r>
          </w:p>
        </w:tc>
        <w:tc>
          <w:tcPr>
            <w:tcW w:w="1771"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1 400 701</w:t>
            </w:r>
          </w:p>
        </w:tc>
        <w:tc>
          <w:tcPr>
            <w:tcW w:w="1772"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1 458 905</w:t>
            </w:r>
          </w:p>
        </w:tc>
      </w:tr>
      <w:tr w:rsidR="00171D1D" w:rsidRPr="00592BA7" w:rsidTr="00592BA7">
        <w:tc>
          <w:tcPr>
            <w:tcW w:w="6091"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Прочие доходы и расходы</w:t>
            </w:r>
          </w:p>
        </w:tc>
        <w:tc>
          <w:tcPr>
            <w:tcW w:w="1771" w:type="dxa"/>
            <w:vAlign w:val="center"/>
          </w:tcPr>
          <w:p w:rsidR="00171D1D" w:rsidRPr="00592BA7" w:rsidRDefault="00171D1D" w:rsidP="00592BA7">
            <w:pPr>
              <w:jc w:val="both"/>
              <w:rPr>
                <w:rFonts w:ascii="Times New Roman" w:hAnsi="Times New Roman" w:cs="Times New Roman"/>
                <w:sz w:val="20"/>
                <w:szCs w:val="20"/>
              </w:rPr>
            </w:pPr>
          </w:p>
        </w:tc>
        <w:tc>
          <w:tcPr>
            <w:tcW w:w="1772" w:type="dxa"/>
            <w:vAlign w:val="center"/>
          </w:tcPr>
          <w:p w:rsidR="00171D1D" w:rsidRPr="00592BA7" w:rsidRDefault="00171D1D" w:rsidP="00592BA7">
            <w:pPr>
              <w:jc w:val="both"/>
              <w:rPr>
                <w:rFonts w:ascii="Times New Roman" w:hAnsi="Times New Roman" w:cs="Times New Roman"/>
                <w:sz w:val="20"/>
                <w:szCs w:val="20"/>
              </w:rPr>
            </w:pPr>
          </w:p>
        </w:tc>
      </w:tr>
      <w:tr w:rsidR="00171D1D" w:rsidRPr="00592BA7" w:rsidTr="00592BA7">
        <w:tc>
          <w:tcPr>
            <w:tcW w:w="6091"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Доходы от участия в других организациях</w:t>
            </w:r>
          </w:p>
        </w:tc>
        <w:tc>
          <w:tcPr>
            <w:tcW w:w="1771"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c>
          <w:tcPr>
            <w:tcW w:w="1772"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r>
      <w:tr w:rsidR="00171D1D" w:rsidRPr="00592BA7" w:rsidTr="00592BA7">
        <w:tc>
          <w:tcPr>
            <w:tcW w:w="6091"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Проценты к получению</w:t>
            </w:r>
          </w:p>
        </w:tc>
        <w:tc>
          <w:tcPr>
            <w:tcW w:w="1771"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67 587</w:t>
            </w:r>
          </w:p>
        </w:tc>
        <w:tc>
          <w:tcPr>
            <w:tcW w:w="1772"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59 553</w:t>
            </w:r>
          </w:p>
        </w:tc>
      </w:tr>
      <w:tr w:rsidR="00171D1D" w:rsidRPr="00592BA7" w:rsidTr="00592BA7">
        <w:tc>
          <w:tcPr>
            <w:tcW w:w="6091"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Проценты к уплате</w:t>
            </w:r>
          </w:p>
        </w:tc>
        <w:tc>
          <w:tcPr>
            <w:tcW w:w="1771"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(356 630)</w:t>
            </w:r>
          </w:p>
        </w:tc>
        <w:tc>
          <w:tcPr>
            <w:tcW w:w="1772"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(234 431)</w:t>
            </w:r>
          </w:p>
        </w:tc>
      </w:tr>
      <w:tr w:rsidR="00171D1D" w:rsidRPr="00592BA7" w:rsidTr="00592BA7">
        <w:tc>
          <w:tcPr>
            <w:tcW w:w="6091"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Прочие доходы</w:t>
            </w:r>
          </w:p>
        </w:tc>
        <w:tc>
          <w:tcPr>
            <w:tcW w:w="1771"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1 351 335</w:t>
            </w:r>
          </w:p>
        </w:tc>
        <w:tc>
          <w:tcPr>
            <w:tcW w:w="1772"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111 082</w:t>
            </w:r>
          </w:p>
        </w:tc>
      </w:tr>
      <w:tr w:rsidR="00171D1D" w:rsidRPr="00592BA7" w:rsidTr="00592BA7">
        <w:tc>
          <w:tcPr>
            <w:tcW w:w="6091"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Прочие расходы</w:t>
            </w:r>
          </w:p>
        </w:tc>
        <w:tc>
          <w:tcPr>
            <w:tcW w:w="1771"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(623 492)</w:t>
            </w:r>
          </w:p>
        </w:tc>
        <w:tc>
          <w:tcPr>
            <w:tcW w:w="1772"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(494 636)</w:t>
            </w:r>
          </w:p>
        </w:tc>
      </w:tr>
      <w:tr w:rsidR="00171D1D" w:rsidRPr="00592BA7" w:rsidTr="00592BA7">
        <w:tc>
          <w:tcPr>
            <w:tcW w:w="6091"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Прибыль (убыток) для налогообложения</w:t>
            </w:r>
          </w:p>
        </w:tc>
        <w:tc>
          <w:tcPr>
            <w:tcW w:w="1771"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1 839 501</w:t>
            </w:r>
          </w:p>
        </w:tc>
        <w:tc>
          <w:tcPr>
            <w:tcW w:w="1772"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900 473</w:t>
            </w:r>
          </w:p>
        </w:tc>
      </w:tr>
      <w:tr w:rsidR="00171D1D" w:rsidRPr="00592BA7" w:rsidTr="00592BA7">
        <w:tc>
          <w:tcPr>
            <w:tcW w:w="6091"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Налог на прибыль</w:t>
            </w:r>
          </w:p>
        </w:tc>
        <w:tc>
          <w:tcPr>
            <w:tcW w:w="1771"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(328 745)</w:t>
            </w:r>
          </w:p>
        </w:tc>
        <w:tc>
          <w:tcPr>
            <w:tcW w:w="1772"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(263 081)</w:t>
            </w:r>
          </w:p>
        </w:tc>
      </w:tr>
      <w:tr w:rsidR="00171D1D" w:rsidRPr="00592BA7" w:rsidTr="00592BA7">
        <w:tc>
          <w:tcPr>
            <w:tcW w:w="6091"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в т.ч.</w:t>
            </w:r>
          </w:p>
        </w:tc>
        <w:tc>
          <w:tcPr>
            <w:tcW w:w="1771" w:type="dxa"/>
            <w:vAlign w:val="center"/>
          </w:tcPr>
          <w:p w:rsidR="00171D1D" w:rsidRPr="00592BA7" w:rsidRDefault="00171D1D" w:rsidP="00592BA7">
            <w:pPr>
              <w:jc w:val="both"/>
              <w:rPr>
                <w:rFonts w:ascii="Times New Roman" w:hAnsi="Times New Roman" w:cs="Times New Roman"/>
                <w:sz w:val="20"/>
                <w:szCs w:val="20"/>
              </w:rPr>
            </w:pPr>
          </w:p>
        </w:tc>
        <w:tc>
          <w:tcPr>
            <w:tcW w:w="1772" w:type="dxa"/>
            <w:vAlign w:val="center"/>
          </w:tcPr>
          <w:p w:rsidR="00171D1D" w:rsidRPr="00592BA7" w:rsidRDefault="00171D1D" w:rsidP="00592BA7">
            <w:pPr>
              <w:jc w:val="both"/>
              <w:rPr>
                <w:rFonts w:ascii="Times New Roman" w:hAnsi="Times New Roman" w:cs="Times New Roman"/>
                <w:sz w:val="20"/>
                <w:szCs w:val="20"/>
              </w:rPr>
            </w:pPr>
          </w:p>
        </w:tc>
      </w:tr>
      <w:tr w:rsidR="00171D1D" w:rsidRPr="00592BA7" w:rsidTr="00592BA7">
        <w:tc>
          <w:tcPr>
            <w:tcW w:w="6091"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Текущий налог на прибыль</w:t>
            </w:r>
          </w:p>
        </w:tc>
        <w:tc>
          <w:tcPr>
            <w:tcW w:w="1771"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(328 745)</w:t>
            </w:r>
          </w:p>
        </w:tc>
        <w:tc>
          <w:tcPr>
            <w:tcW w:w="1772"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(147 804)</w:t>
            </w:r>
          </w:p>
        </w:tc>
      </w:tr>
      <w:tr w:rsidR="00171D1D" w:rsidRPr="00592BA7" w:rsidTr="00592BA7">
        <w:tc>
          <w:tcPr>
            <w:tcW w:w="6091"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Отложенный налог на прибыль</w:t>
            </w:r>
          </w:p>
        </w:tc>
        <w:tc>
          <w:tcPr>
            <w:tcW w:w="1771"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(67 894)</w:t>
            </w:r>
          </w:p>
        </w:tc>
        <w:tc>
          <w:tcPr>
            <w:tcW w:w="1772"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(115 277)</w:t>
            </w:r>
          </w:p>
        </w:tc>
      </w:tr>
      <w:tr w:rsidR="00171D1D" w:rsidRPr="00592BA7" w:rsidTr="00592BA7">
        <w:tc>
          <w:tcPr>
            <w:tcW w:w="6091"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Прочее </w:t>
            </w:r>
          </w:p>
        </w:tc>
        <w:tc>
          <w:tcPr>
            <w:tcW w:w="1771"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4 955</w:t>
            </w:r>
          </w:p>
        </w:tc>
        <w:tc>
          <w:tcPr>
            <w:tcW w:w="1772"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60 642</w:t>
            </w:r>
          </w:p>
        </w:tc>
      </w:tr>
      <w:tr w:rsidR="00171D1D" w:rsidRPr="00592BA7" w:rsidTr="00592BA7">
        <w:tc>
          <w:tcPr>
            <w:tcW w:w="6091"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Чистая прибыль (убыток)</w:t>
            </w:r>
          </w:p>
        </w:tc>
        <w:tc>
          <w:tcPr>
            <w:tcW w:w="1771"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1 447 817</w:t>
            </w:r>
          </w:p>
        </w:tc>
        <w:tc>
          <w:tcPr>
            <w:tcW w:w="1772"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698 034</w:t>
            </w:r>
          </w:p>
        </w:tc>
      </w:tr>
    </w:tbl>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Постановлением Государственной службы Чувашской Республики по конкурентной политике и тарифам от 06.12.2023 №55-21тп «Об установлении платы за технологическое присоединение к электрическим сетям территориальных сетевых организаций на территории Чувашской Республики и стандартизированных тарифных ставок, определяющих ее величину, на 2024 год», установлены стандартизированные тарифные ставки на покрытие расходов на за технологическое присоединение энергопринимающих устройств потребителей электрической энергии, включающее в себя строительство объектов электросетевого хозяйства (с учетом мощности ранее присоединенных в данной точке присоединения энергопринимающих устройств), а также на обеспечение средствами коммерческого учета электрической энергии (мощности), льготные ставки за 1 кВт запрашиваемой максимальной мощности в отношении всей совокупности мероприятий сетевым организациям на территории Чувашской Республики, в следующих размерах:</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с 1 января 2024 г. по 30 июня 2024 г. в размере 4 457 руб. за кВт (с учетом НДС) </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и с 1 июня 2024 г. по 31 декабря 2024 г. в размере 5 571 руб. за кВт (с учетом НДС).</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Тарифы на электрическую энергию представлены в таблице 3.1.3.2. Тарифы утверждены Постановлением Государственной службы Чувашской Республики по конкурентной политике и тарифам от 08 апреля 2024 г. № 12-4/э «Об установлении цен (тарифов) на электрическую энергию (мощность), поставляемую населению и </w:t>
      </w:r>
      <w:r w:rsidRPr="00592BA7">
        <w:rPr>
          <w:rFonts w:ascii="Times New Roman" w:hAnsi="Times New Roman" w:cs="Times New Roman"/>
          <w:sz w:val="20"/>
          <w:szCs w:val="20"/>
        </w:rPr>
        <w:lastRenderedPageBreak/>
        <w:t xml:space="preserve">приравненным к нему категориям потребителей, по Чувашской Республике на 2024 год» (зарегистрировано Государственной службой Чувашской Республики по делам юстиции 10 апреля 2024 г., регистр. № 9225). </w:t>
      </w:r>
    </w:p>
    <w:p w:rsidR="00171D1D" w:rsidRPr="00592BA7" w:rsidRDefault="00171D1D" w:rsidP="00592BA7">
      <w:pPr>
        <w:jc w:val="both"/>
        <w:rPr>
          <w:rFonts w:ascii="Times New Roman" w:hAnsi="Times New Roman" w:cs="Times New Roman"/>
          <w:sz w:val="20"/>
          <w:szCs w:val="20"/>
        </w:rPr>
      </w:pPr>
    </w:p>
    <w:p w:rsidR="00171D1D" w:rsidRPr="00592BA7" w:rsidRDefault="00171D1D" w:rsidP="00592BA7">
      <w:pPr>
        <w:jc w:val="both"/>
        <w:rPr>
          <w:rFonts w:ascii="Times New Roman" w:hAnsi="Times New Roman" w:cs="Times New Roman"/>
          <w:sz w:val="20"/>
          <w:szCs w:val="20"/>
        </w:rPr>
      </w:pPr>
    </w:p>
    <w:p w:rsidR="00171D1D" w:rsidRPr="00592BA7" w:rsidRDefault="00171D1D" w:rsidP="00592BA7">
      <w:pPr>
        <w:jc w:val="both"/>
        <w:rPr>
          <w:rFonts w:ascii="Times New Roman" w:hAnsi="Times New Roman" w:cs="Times New Roman"/>
          <w:sz w:val="20"/>
          <w:szCs w:val="20"/>
        </w:rPr>
        <w:sectPr w:rsidR="00171D1D" w:rsidRPr="00592BA7" w:rsidSect="00592BA7">
          <w:footerReference w:type="first" r:id="rId10"/>
          <w:pgSz w:w="11906" w:h="16838"/>
          <w:pgMar w:top="1134" w:right="851" w:bottom="1134" w:left="1418" w:header="709" w:footer="459" w:gutter="0"/>
          <w:cols w:space="708"/>
          <w:titlePg/>
          <w:docGrid w:linePitch="360"/>
        </w:sectPr>
      </w:pP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Таблица 3.1.3.2</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Тарифы на электрическую энергию</w:t>
      </w:r>
    </w:p>
    <w:tbl>
      <w:tblPr>
        <w:tblW w:w="508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0" w:type="dxa"/>
          <w:left w:w="150" w:type="dxa"/>
          <w:bottom w:w="150" w:type="dxa"/>
          <w:right w:w="150" w:type="dxa"/>
        </w:tblCellMar>
        <w:tblLook w:val="04A0" w:firstRow="1" w:lastRow="0" w:firstColumn="1" w:lastColumn="0" w:noHBand="0" w:noVBand="1"/>
      </w:tblPr>
      <w:tblGrid>
        <w:gridCol w:w="797"/>
        <w:gridCol w:w="3437"/>
        <w:gridCol w:w="2030"/>
        <w:gridCol w:w="2229"/>
        <w:gridCol w:w="1266"/>
        <w:gridCol w:w="2030"/>
        <w:gridCol w:w="2229"/>
        <w:gridCol w:w="1269"/>
      </w:tblGrid>
      <w:tr w:rsidR="00171D1D" w:rsidRPr="00592BA7" w:rsidTr="00592BA7">
        <w:trPr>
          <w:trHeight w:val="20"/>
        </w:trPr>
        <w:tc>
          <w:tcPr>
            <w:tcW w:w="261" w:type="pct"/>
            <w:vMerge w:val="restar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N п/п</w:t>
            </w:r>
          </w:p>
        </w:tc>
        <w:tc>
          <w:tcPr>
            <w:tcW w:w="1124" w:type="pct"/>
            <w:vMerge w:val="restar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Категории потребителей с разбивкой по ставкам и дифференциацией по зонам суток</w:t>
            </w:r>
          </w:p>
        </w:tc>
        <w:tc>
          <w:tcPr>
            <w:tcW w:w="3615" w:type="pct"/>
            <w:gridSpan w:val="6"/>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Цена (тариф) в руб./кВт.ч (с учетом НДС)</w:t>
            </w:r>
          </w:p>
        </w:tc>
      </w:tr>
      <w:tr w:rsidR="00171D1D" w:rsidRPr="00592BA7" w:rsidTr="00592BA7">
        <w:trPr>
          <w:trHeight w:val="20"/>
        </w:trPr>
        <w:tc>
          <w:tcPr>
            <w:tcW w:w="261" w:type="pct"/>
            <w:vMerge/>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1124" w:type="pct"/>
            <w:vMerge/>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1807" w:type="pct"/>
            <w:gridSpan w:val="3"/>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с 01.05.2024 по 30.06.2024</w:t>
            </w:r>
          </w:p>
        </w:tc>
        <w:tc>
          <w:tcPr>
            <w:tcW w:w="1808" w:type="pct"/>
            <w:gridSpan w:val="3"/>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с 01.07.2024 по 31.12.2024</w:t>
            </w:r>
          </w:p>
        </w:tc>
      </w:tr>
      <w:tr w:rsidR="00171D1D" w:rsidRPr="00592BA7" w:rsidTr="00592BA7">
        <w:trPr>
          <w:trHeight w:val="20"/>
        </w:trPr>
        <w:tc>
          <w:tcPr>
            <w:tcW w:w="261" w:type="pct"/>
            <w:vMerge/>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1124" w:type="pct"/>
            <w:vMerge/>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615" w:type="pct"/>
            <w:gridSpan w:val="6"/>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диапазоны объемов потребления электрической энергии (мощности)</w:t>
            </w:r>
          </w:p>
        </w:tc>
      </w:tr>
      <w:tr w:rsidR="00171D1D" w:rsidRPr="00592BA7" w:rsidTr="00592BA7">
        <w:trPr>
          <w:trHeight w:val="650"/>
        </w:trPr>
        <w:tc>
          <w:tcPr>
            <w:tcW w:w="261" w:type="pct"/>
            <w:vMerge/>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1124" w:type="pct"/>
            <w:vMerge/>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66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первый</w:t>
            </w:r>
            <w:r w:rsidRPr="00592BA7">
              <w:rPr>
                <w:rFonts w:ascii="Times New Roman" w:hAnsi="Times New Roman" w:cs="Times New Roman"/>
                <w:sz w:val="20"/>
                <w:szCs w:val="20"/>
                <w:lang w:eastAsia="ru-RU"/>
              </w:rPr>
              <w:br/>
              <w:t>(до 11 000 включительно)</w:t>
            </w:r>
          </w:p>
        </w:tc>
        <w:tc>
          <w:tcPr>
            <w:tcW w:w="729"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второй</w:t>
            </w:r>
            <w:r w:rsidRPr="00592BA7">
              <w:rPr>
                <w:rFonts w:ascii="Times New Roman" w:hAnsi="Times New Roman" w:cs="Times New Roman"/>
                <w:sz w:val="20"/>
                <w:szCs w:val="20"/>
                <w:lang w:eastAsia="ru-RU"/>
              </w:rPr>
              <w:br/>
              <w:t>(свыше 11 000 до 15 000 включительно)</w:t>
            </w:r>
          </w:p>
        </w:tc>
        <w:tc>
          <w:tcPr>
            <w:tcW w:w="41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третий</w:t>
            </w:r>
            <w:r w:rsidRPr="00592BA7">
              <w:rPr>
                <w:rFonts w:ascii="Times New Roman" w:hAnsi="Times New Roman" w:cs="Times New Roman"/>
                <w:sz w:val="20"/>
                <w:szCs w:val="20"/>
                <w:lang w:eastAsia="ru-RU"/>
              </w:rPr>
              <w:br/>
              <w:t xml:space="preserve">(свыше </w:t>
            </w:r>
          </w:p>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15 000)</w:t>
            </w:r>
          </w:p>
        </w:tc>
        <w:tc>
          <w:tcPr>
            <w:tcW w:w="66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первый</w:t>
            </w:r>
            <w:r w:rsidRPr="00592BA7">
              <w:rPr>
                <w:rFonts w:ascii="Times New Roman" w:hAnsi="Times New Roman" w:cs="Times New Roman"/>
                <w:sz w:val="20"/>
                <w:szCs w:val="20"/>
                <w:lang w:eastAsia="ru-RU"/>
              </w:rPr>
              <w:br/>
              <w:t>(до 11 000 включительно)</w:t>
            </w:r>
          </w:p>
        </w:tc>
        <w:tc>
          <w:tcPr>
            <w:tcW w:w="729"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второй</w:t>
            </w:r>
            <w:r w:rsidRPr="00592BA7">
              <w:rPr>
                <w:rFonts w:ascii="Times New Roman" w:hAnsi="Times New Roman" w:cs="Times New Roman"/>
                <w:sz w:val="20"/>
                <w:szCs w:val="20"/>
                <w:lang w:eastAsia="ru-RU"/>
              </w:rPr>
              <w:br/>
              <w:t>(свыше 11 000 до 15 000 включительно)</w:t>
            </w:r>
          </w:p>
        </w:tc>
        <w:tc>
          <w:tcPr>
            <w:tcW w:w="415"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третий</w:t>
            </w:r>
            <w:r w:rsidRPr="00592BA7">
              <w:rPr>
                <w:rFonts w:ascii="Times New Roman" w:hAnsi="Times New Roman" w:cs="Times New Roman"/>
                <w:sz w:val="20"/>
                <w:szCs w:val="20"/>
                <w:lang w:eastAsia="ru-RU"/>
              </w:rPr>
              <w:br/>
              <w:t xml:space="preserve">(свыше </w:t>
            </w:r>
          </w:p>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15 000)</w:t>
            </w:r>
          </w:p>
        </w:tc>
      </w:tr>
      <w:tr w:rsidR="00171D1D" w:rsidRPr="00592BA7" w:rsidTr="00592BA7">
        <w:trPr>
          <w:trHeight w:val="20"/>
        </w:trPr>
        <w:tc>
          <w:tcPr>
            <w:tcW w:w="261"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w:t>
            </w:r>
          </w:p>
        </w:tc>
        <w:tc>
          <w:tcPr>
            <w:tcW w:w="4739" w:type="pct"/>
            <w:gridSpan w:val="7"/>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Население и приравненные к нему, за исключением населения и потребителей, указанных в пунктах 2-5</w:t>
            </w:r>
          </w:p>
        </w:tc>
      </w:tr>
      <w:tr w:rsidR="00171D1D" w:rsidRPr="00592BA7" w:rsidTr="00592BA7">
        <w:trPr>
          <w:trHeight w:val="20"/>
        </w:trPr>
        <w:tc>
          <w:tcPr>
            <w:tcW w:w="261"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1.1.</w:t>
            </w:r>
          </w:p>
        </w:tc>
        <w:tc>
          <w:tcPr>
            <w:tcW w:w="112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Одноставочный тариф</w:t>
            </w:r>
          </w:p>
        </w:tc>
        <w:tc>
          <w:tcPr>
            <w:tcW w:w="66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4,05</w:t>
            </w:r>
          </w:p>
        </w:tc>
        <w:tc>
          <w:tcPr>
            <w:tcW w:w="729"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4,05</w:t>
            </w:r>
          </w:p>
        </w:tc>
        <w:tc>
          <w:tcPr>
            <w:tcW w:w="41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4,05</w:t>
            </w:r>
          </w:p>
        </w:tc>
        <w:tc>
          <w:tcPr>
            <w:tcW w:w="66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4,41</w:t>
            </w:r>
          </w:p>
        </w:tc>
        <w:tc>
          <w:tcPr>
            <w:tcW w:w="729"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4,42</w:t>
            </w:r>
          </w:p>
        </w:tc>
        <w:tc>
          <w:tcPr>
            <w:tcW w:w="415"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5,56</w:t>
            </w:r>
          </w:p>
        </w:tc>
      </w:tr>
      <w:tr w:rsidR="00171D1D" w:rsidRPr="00592BA7" w:rsidTr="00592BA7">
        <w:trPr>
          <w:trHeight w:val="20"/>
        </w:trPr>
        <w:tc>
          <w:tcPr>
            <w:tcW w:w="261" w:type="pct"/>
            <w:vMerge w:val="restar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1.2.</w:t>
            </w:r>
          </w:p>
        </w:tc>
        <w:tc>
          <w:tcPr>
            <w:tcW w:w="4739" w:type="pct"/>
            <w:gridSpan w:val="7"/>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Одноставочный тариф, дифференцированный по двум зонам суток</w:t>
            </w:r>
          </w:p>
        </w:tc>
      </w:tr>
      <w:tr w:rsidR="00171D1D" w:rsidRPr="00592BA7" w:rsidTr="00592BA7">
        <w:trPr>
          <w:trHeight w:val="20"/>
        </w:trPr>
        <w:tc>
          <w:tcPr>
            <w:tcW w:w="261" w:type="pct"/>
            <w:vMerge/>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112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Дневная зона (пиковая и полупиковая)</w:t>
            </w:r>
          </w:p>
        </w:tc>
        <w:tc>
          <w:tcPr>
            <w:tcW w:w="66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4,58</w:t>
            </w:r>
          </w:p>
        </w:tc>
        <w:tc>
          <w:tcPr>
            <w:tcW w:w="729"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4,58</w:t>
            </w:r>
          </w:p>
        </w:tc>
        <w:tc>
          <w:tcPr>
            <w:tcW w:w="41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4,58</w:t>
            </w:r>
          </w:p>
        </w:tc>
        <w:tc>
          <w:tcPr>
            <w:tcW w:w="66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5,02</w:t>
            </w:r>
          </w:p>
        </w:tc>
        <w:tc>
          <w:tcPr>
            <w:tcW w:w="729"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5,03</w:t>
            </w:r>
          </w:p>
        </w:tc>
        <w:tc>
          <w:tcPr>
            <w:tcW w:w="415"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6,04</w:t>
            </w:r>
          </w:p>
        </w:tc>
      </w:tr>
      <w:tr w:rsidR="00171D1D" w:rsidRPr="00592BA7" w:rsidTr="00592BA7">
        <w:trPr>
          <w:trHeight w:val="20"/>
        </w:trPr>
        <w:tc>
          <w:tcPr>
            <w:tcW w:w="261" w:type="pct"/>
            <w:vMerge/>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112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Ночная зона</w:t>
            </w:r>
          </w:p>
        </w:tc>
        <w:tc>
          <w:tcPr>
            <w:tcW w:w="66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2,56</w:t>
            </w:r>
          </w:p>
        </w:tc>
        <w:tc>
          <w:tcPr>
            <w:tcW w:w="729"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2,56</w:t>
            </w:r>
          </w:p>
        </w:tc>
        <w:tc>
          <w:tcPr>
            <w:tcW w:w="41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2,56</w:t>
            </w:r>
          </w:p>
        </w:tc>
        <w:tc>
          <w:tcPr>
            <w:tcW w:w="66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3,00</w:t>
            </w:r>
          </w:p>
        </w:tc>
        <w:tc>
          <w:tcPr>
            <w:tcW w:w="729"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3,01</w:t>
            </w:r>
          </w:p>
        </w:tc>
        <w:tc>
          <w:tcPr>
            <w:tcW w:w="415"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4,45</w:t>
            </w:r>
          </w:p>
        </w:tc>
      </w:tr>
      <w:tr w:rsidR="00171D1D" w:rsidRPr="00592BA7" w:rsidTr="00592BA7">
        <w:trPr>
          <w:trHeight w:val="20"/>
        </w:trPr>
        <w:tc>
          <w:tcPr>
            <w:tcW w:w="261" w:type="pct"/>
            <w:vMerge w:val="restar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1.3.</w:t>
            </w:r>
          </w:p>
        </w:tc>
        <w:tc>
          <w:tcPr>
            <w:tcW w:w="4739" w:type="pct"/>
            <w:gridSpan w:val="7"/>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Одноставочный тариф, дифференцированный по трем зонам суток</w:t>
            </w:r>
          </w:p>
        </w:tc>
      </w:tr>
      <w:tr w:rsidR="00171D1D" w:rsidRPr="00592BA7" w:rsidTr="00592BA7">
        <w:trPr>
          <w:trHeight w:val="20"/>
        </w:trPr>
        <w:tc>
          <w:tcPr>
            <w:tcW w:w="261" w:type="pct"/>
            <w:vMerge/>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112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Пиковая зона</w:t>
            </w:r>
          </w:p>
        </w:tc>
        <w:tc>
          <w:tcPr>
            <w:tcW w:w="66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4,81</w:t>
            </w:r>
          </w:p>
        </w:tc>
        <w:tc>
          <w:tcPr>
            <w:tcW w:w="729"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4,81</w:t>
            </w:r>
          </w:p>
        </w:tc>
        <w:tc>
          <w:tcPr>
            <w:tcW w:w="41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4,81</w:t>
            </w:r>
          </w:p>
        </w:tc>
        <w:tc>
          <w:tcPr>
            <w:tcW w:w="66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5,96</w:t>
            </w:r>
          </w:p>
        </w:tc>
        <w:tc>
          <w:tcPr>
            <w:tcW w:w="729"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5,97</w:t>
            </w:r>
          </w:p>
        </w:tc>
        <w:tc>
          <w:tcPr>
            <w:tcW w:w="415"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6,78</w:t>
            </w:r>
          </w:p>
        </w:tc>
      </w:tr>
      <w:tr w:rsidR="00171D1D" w:rsidRPr="00592BA7" w:rsidTr="00592BA7">
        <w:trPr>
          <w:trHeight w:val="20"/>
        </w:trPr>
        <w:tc>
          <w:tcPr>
            <w:tcW w:w="261" w:type="pct"/>
            <w:vMerge/>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112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Полупиковая зона</w:t>
            </w:r>
          </w:p>
        </w:tc>
        <w:tc>
          <w:tcPr>
            <w:tcW w:w="66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4,05</w:t>
            </w:r>
          </w:p>
        </w:tc>
        <w:tc>
          <w:tcPr>
            <w:tcW w:w="729"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4,05</w:t>
            </w:r>
          </w:p>
        </w:tc>
        <w:tc>
          <w:tcPr>
            <w:tcW w:w="41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4,05</w:t>
            </w:r>
          </w:p>
        </w:tc>
        <w:tc>
          <w:tcPr>
            <w:tcW w:w="66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4,41</w:t>
            </w:r>
          </w:p>
        </w:tc>
        <w:tc>
          <w:tcPr>
            <w:tcW w:w="729"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4,42</w:t>
            </w:r>
          </w:p>
        </w:tc>
        <w:tc>
          <w:tcPr>
            <w:tcW w:w="415"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5,56</w:t>
            </w:r>
          </w:p>
        </w:tc>
      </w:tr>
      <w:tr w:rsidR="00171D1D" w:rsidRPr="00592BA7" w:rsidTr="00592BA7">
        <w:trPr>
          <w:trHeight w:val="20"/>
        </w:trPr>
        <w:tc>
          <w:tcPr>
            <w:tcW w:w="261" w:type="pct"/>
            <w:vMerge/>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112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Ночная зона</w:t>
            </w:r>
          </w:p>
        </w:tc>
        <w:tc>
          <w:tcPr>
            <w:tcW w:w="66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2,56</w:t>
            </w:r>
          </w:p>
        </w:tc>
        <w:tc>
          <w:tcPr>
            <w:tcW w:w="729"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2,56</w:t>
            </w:r>
          </w:p>
        </w:tc>
        <w:tc>
          <w:tcPr>
            <w:tcW w:w="41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2,56</w:t>
            </w:r>
          </w:p>
        </w:tc>
        <w:tc>
          <w:tcPr>
            <w:tcW w:w="66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3,00</w:t>
            </w:r>
          </w:p>
        </w:tc>
        <w:tc>
          <w:tcPr>
            <w:tcW w:w="729"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3,01</w:t>
            </w:r>
          </w:p>
        </w:tc>
        <w:tc>
          <w:tcPr>
            <w:tcW w:w="415"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4,45</w:t>
            </w:r>
          </w:p>
        </w:tc>
      </w:tr>
      <w:tr w:rsidR="00171D1D" w:rsidRPr="00592BA7" w:rsidTr="00592BA7">
        <w:trPr>
          <w:trHeight w:val="20"/>
        </w:trPr>
        <w:tc>
          <w:tcPr>
            <w:tcW w:w="261"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2.</w:t>
            </w:r>
          </w:p>
        </w:tc>
        <w:tc>
          <w:tcPr>
            <w:tcW w:w="4739" w:type="pct"/>
            <w:gridSpan w:val="7"/>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Население, проживающее в городских населенных пунктах в домах, оборудованных стационарными электроплитами и электроотопительными установками</w:t>
            </w:r>
          </w:p>
        </w:tc>
      </w:tr>
      <w:tr w:rsidR="00171D1D" w:rsidRPr="00592BA7" w:rsidTr="00592BA7">
        <w:trPr>
          <w:trHeight w:val="20"/>
        </w:trPr>
        <w:tc>
          <w:tcPr>
            <w:tcW w:w="261"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2.1.</w:t>
            </w:r>
          </w:p>
        </w:tc>
        <w:tc>
          <w:tcPr>
            <w:tcW w:w="112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Одноставочный тариф</w:t>
            </w:r>
          </w:p>
        </w:tc>
        <w:tc>
          <w:tcPr>
            <w:tcW w:w="66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2,84</w:t>
            </w:r>
          </w:p>
        </w:tc>
        <w:tc>
          <w:tcPr>
            <w:tcW w:w="729"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2,84</w:t>
            </w:r>
          </w:p>
        </w:tc>
        <w:tc>
          <w:tcPr>
            <w:tcW w:w="41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2,84</w:t>
            </w:r>
          </w:p>
        </w:tc>
        <w:tc>
          <w:tcPr>
            <w:tcW w:w="66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3,09</w:t>
            </w:r>
          </w:p>
        </w:tc>
        <w:tc>
          <w:tcPr>
            <w:tcW w:w="729"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3,10</w:t>
            </w:r>
          </w:p>
        </w:tc>
        <w:tc>
          <w:tcPr>
            <w:tcW w:w="415"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3,89</w:t>
            </w:r>
          </w:p>
        </w:tc>
      </w:tr>
      <w:tr w:rsidR="00171D1D" w:rsidRPr="00592BA7" w:rsidTr="00592BA7">
        <w:trPr>
          <w:trHeight w:val="20"/>
        </w:trPr>
        <w:tc>
          <w:tcPr>
            <w:tcW w:w="261" w:type="pct"/>
            <w:vMerge w:val="restar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2.2.</w:t>
            </w:r>
          </w:p>
        </w:tc>
        <w:tc>
          <w:tcPr>
            <w:tcW w:w="4739" w:type="pct"/>
            <w:gridSpan w:val="7"/>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Одноставочный тариф, дифференцированный по двум зонам суток</w:t>
            </w:r>
          </w:p>
        </w:tc>
      </w:tr>
      <w:tr w:rsidR="00171D1D" w:rsidRPr="00592BA7" w:rsidTr="00592BA7">
        <w:trPr>
          <w:trHeight w:val="53"/>
        </w:trPr>
        <w:tc>
          <w:tcPr>
            <w:tcW w:w="261" w:type="pct"/>
            <w:vMerge/>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112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Дневная зона (пиковая и полупиковая)</w:t>
            </w:r>
          </w:p>
        </w:tc>
        <w:tc>
          <w:tcPr>
            <w:tcW w:w="66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3,21</w:t>
            </w:r>
          </w:p>
        </w:tc>
        <w:tc>
          <w:tcPr>
            <w:tcW w:w="729"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3,21</w:t>
            </w:r>
          </w:p>
        </w:tc>
        <w:tc>
          <w:tcPr>
            <w:tcW w:w="41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3,21</w:t>
            </w:r>
          </w:p>
        </w:tc>
        <w:tc>
          <w:tcPr>
            <w:tcW w:w="66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3,52</w:t>
            </w:r>
          </w:p>
        </w:tc>
        <w:tc>
          <w:tcPr>
            <w:tcW w:w="729"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3,52</w:t>
            </w:r>
          </w:p>
        </w:tc>
        <w:tc>
          <w:tcPr>
            <w:tcW w:w="415"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4,23</w:t>
            </w:r>
          </w:p>
        </w:tc>
      </w:tr>
      <w:tr w:rsidR="00171D1D" w:rsidRPr="00592BA7" w:rsidTr="00592BA7">
        <w:trPr>
          <w:trHeight w:val="20"/>
        </w:trPr>
        <w:tc>
          <w:tcPr>
            <w:tcW w:w="261" w:type="pct"/>
            <w:vMerge/>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112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Ночная зона</w:t>
            </w:r>
          </w:p>
        </w:tc>
        <w:tc>
          <w:tcPr>
            <w:tcW w:w="66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1,79</w:t>
            </w:r>
          </w:p>
        </w:tc>
        <w:tc>
          <w:tcPr>
            <w:tcW w:w="729"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1,79</w:t>
            </w:r>
          </w:p>
        </w:tc>
        <w:tc>
          <w:tcPr>
            <w:tcW w:w="41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1,79</w:t>
            </w:r>
          </w:p>
        </w:tc>
        <w:tc>
          <w:tcPr>
            <w:tcW w:w="66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2,10</w:t>
            </w:r>
          </w:p>
        </w:tc>
        <w:tc>
          <w:tcPr>
            <w:tcW w:w="729"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2,11</w:t>
            </w:r>
          </w:p>
        </w:tc>
        <w:tc>
          <w:tcPr>
            <w:tcW w:w="415"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3,11</w:t>
            </w:r>
          </w:p>
        </w:tc>
      </w:tr>
      <w:tr w:rsidR="00171D1D" w:rsidRPr="00592BA7" w:rsidTr="00592BA7">
        <w:trPr>
          <w:trHeight w:val="20"/>
        </w:trPr>
        <w:tc>
          <w:tcPr>
            <w:tcW w:w="261" w:type="pct"/>
            <w:vMerge w:val="restar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2.3.</w:t>
            </w:r>
          </w:p>
        </w:tc>
        <w:tc>
          <w:tcPr>
            <w:tcW w:w="4739" w:type="pct"/>
            <w:gridSpan w:val="7"/>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Одноставочный тариф, дифференцированный по трем зонам суток</w:t>
            </w:r>
          </w:p>
        </w:tc>
      </w:tr>
      <w:tr w:rsidR="00171D1D" w:rsidRPr="00592BA7" w:rsidTr="00592BA7">
        <w:trPr>
          <w:trHeight w:val="20"/>
        </w:trPr>
        <w:tc>
          <w:tcPr>
            <w:tcW w:w="261" w:type="pct"/>
            <w:vMerge/>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112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Пиковая зона</w:t>
            </w:r>
          </w:p>
        </w:tc>
        <w:tc>
          <w:tcPr>
            <w:tcW w:w="66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3,37</w:t>
            </w:r>
          </w:p>
        </w:tc>
        <w:tc>
          <w:tcPr>
            <w:tcW w:w="729"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3,37</w:t>
            </w:r>
          </w:p>
        </w:tc>
        <w:tc>
          <w:tcPr>
            <w:tcW w:w="41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3,37</w:t>
            </w:r>
          </w:p>
        </w:tc>
        <w:tc>
          <w:tcPr>
            <w:tcW w:w="66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4,17</w:t>
            </w:r>
          </w:p>
        </w:tc>
        <w:tc>
          <w:tcPr>
            <w:tcW w:w="729"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4,18</w:t>
            </w:r>
          </w:p>
        </w:tc>
        <w:tc>
          <w:tcPr>
            <w:tcW w:w="415"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4,75</w:t>
            </w:r>
          </w:p>
        </w:tc>
      </w:tr>
      <w:tr w:rsidR="00171D1D" w:rsidRPr="00592BA7" w:rsidTr="00592BA7">
        <w:trPr>
          <w:trHeight w:val="20"/>
        </w:trPr>
        <w:tc>
          <w:tcPr>
            <w:tcW w:w="261" w:type="pct"/>
            <w:vMerge/>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112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Полупиковая зона</w:t>
            </w:r>
          </w:p>
        </w:tc>
        <w:tc>
          <w:tcPr>
            <w:tcW w:w="66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2,84</w:t>
            </w:r>
          </w:p>
        </w:tc>
        <w:tc>
          <w:tcPr>
            <w:tcW w:w="729"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2,84</w:t>
            </w:r>
          </w:p>
        </w:tc>
        <w:tc>
          <w:tcPr>
            <w:tcW w:w="41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2,84</w:t>
            </w:r>
          </w:p>
        </w:tc>
        <w:tc>
          <w:tcPr>
            <w:tcW w:w="66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3,09</w:t>
            </w:r>
          </w:p>
        </w:tc>
        <w:tc>
          <w:tcPr>
            <w:tcW w:w="729"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3,10</w:t>
            </w:r>
          </w:p>
        </w:tc>
        <w:tc>
          <w:tcPr>
            <w:tcW w:w="415"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3,89</w:t>
            </w:r>
          </w:p>
        </w:tc>
      </w:tr>
      <w:tr w:rsidR="00171D1D" w:rsidRPr="00592BA7" w:rsidTr="00592BA7">
        <w:trPr>
          <w:trHeight w:val="20"/>
        </w:trPr>
        <w:tc>
          <w:tcPr>
            <w:tcW w:w="261" w:type="pct"/>
            <w:vMerge/>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112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Ночная зона</w:t>
            </w:r>
          </w:p>
        </w:tc>
        <w:tc>
          <w:tcPr>
            <w:tcW w:w="66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1,79</w:t>
            </w:r>
          </w:p>
        </w:tc>
        <w:tc>
          <w:tcPr>
            <w:tcW w:w="729"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1,79</w:t>
            </w:r>
          </w:p>
        </w:tc>
        <w:tc>
          <w:tcPr>
            <w:tcW w:w="41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1,79</w:t>
            </w:r>
          </w:p>
        </w:tc>
        <w:tc>
          <w:tcPr>
            <w:tcW w:w="66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2,10</w:t>
            </w:r>
          </w:p>
        </w:tc>
        <w:tc>
          <w:tcPr>
            <w:tcW w:w="729"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2,11</w:t>
            </w:r>
          </w:p>
        </w:tc>
        <w:tc>
          <w:tcPr>
            <w:tcW w:w="415"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3,11</w:t>
            </w:r>
          </w:p>
        </w:tc>
      </w:tr>
      <w:tr w:rsidR="00171D1D" w:rsidRPr="00592BA7" w:rsidTr="00592BA7">
        <w:trPr>
          <w:trHeight w:val="20"/>
        </w:trPr>
        <w:tc>
          <w:tcPr>
            <w:tcW w:w="261"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w:t>
            </w:r>
          </w:p>
        </w:tc>
        <w:tc>
          <w:tcPr>
            <w:tcW w:w="4739" w:type="pct"/>
            <w:gridSpan w:val="7"/>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Население, проживающее в городских населенных пунктах в домах, оборудованных стационарными электроплитами и не оборудованных электроотопительными установками</w:t>
            </w:r>
          </w:p>
        </w:tc>
      </w:tr>
      <w:tr w:rsidR="00171D1D" w:rsidRPr="00592BA7" w:rsidTr="00592BA7">
        <w:trPr>
          <w:trHeight w:val="20"/>
        </w:trPr>
        <w:tc>
          <w:tcPr>
            <w:tcW w:w="261"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3.1.</w:t>
            </w:r>
          </w:p>
        </w:tc>
        <w:tc>
          <w:tcPr>
            <w:tcW w:w="112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Одноставочный тариф</w:t>
            </w:r>
          </w:p>
        </w:tc>
        <w:tc>
          <w:tcPr>
            <w:tcW w:w="66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2,84</w:t>
            </w:r>
          </w:p>
        </w:tc>
        <w:tc>
          <w:tcPr>
            <w:tcW w:w="729"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2,84</w:t>
            </w:r>
          </w:p>
        </w:tc>
        <w:tc>
          <w:tcPr>
            <w:tcW w:w="41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2,84</w:t>
            </w:r>
          </w:p>
        </w:tc>
        <w:tc>
          <w:tcPr>
            <w:tcW w:w="66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3,09</w:t>
            </w:r>
          </w:p>
        </w:tc>
        <w:tc>
          <w:tcPr>
            <w:tcW w:w="729"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3,10</w:t>
            </w:r>
          </w:p>
        </w:tc>
        <w:tc>
          <w:tcPr>
            <w:tcW w:w="415"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3,89</w:t>
            </w:r>
          </w:p>
        </w:tc>
      </w:tr>
      <w:tr w:rsidR="00171D1D" w:rsidRPr="00592BA7" w:rsidTr="00592BA7">
        <w:trPr>
          <w:trHeight w:val="20"/>
        </w:trPr>
        <w:tc>
          <w:tcPr>
            <w:tcW w:w="261" w:type="pct"/>
            <w:vMerge w:val="restar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3.2.</w:t>
            </w:r>
          </w:p>
        </w:tc>
        <w:tc>
          <w:tcPr>
            <w:tcW w:w="4739" w:type="pct"/>
            <w:gridSpan w:val="7"/>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Одноставочный тариф, дифференцированный по двум зонам суток</w:t>
            </w:r>
          </w:p>
        </w:tc>
      </w:tr>
      <w:tr w:rsidR="00171D1D" w:rsidRPr="00592BA7" w:rsidTr="00592BA7">
        <w:trPr>
          <w:trHeight w:val="20"/>
        </w:trPr>
        <w:tc>
          <w:tcPr>
            <w:tcW w:w="261" w:type="pct"/>
            <w:vMerge/>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112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Дневная зона (пиковая и полупиковая)</w:t>
            </w:r>
          </w:p>
        </w:tc>
        <w:tc>
          <w:tcPr>
            <w:tcW w:w="66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3,21</w:t>
            </w:r>
          </w:p>
        </w:tc>
        <w:tc>
          <w:tcPr>
            <w:tcW w:w="729"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3,21</w:t>
            </w:r>
          </w:p>
        </w:tc>
        <w:tc>
          <w:tcPr>
            <w:tcW w:w="41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3,21</w:t>
            </w:r>
          </w:p>
        </w:tc>
        <w:tc>
          <w:tcPr>
            <w:tcW w:w="66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3,52</w:t>
            </w:r>
          </w:p>
        </w:tc>
        <w:tc>
          <w:tcPr>
            <w:tcW w:w="729"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3,52</w:t>
            </w:r>
          </w:p>
        </w:tc>
        <w:tc>
          <w:tcPr>
            <w:tcW w:w="415"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4,23</w:t>
            </w:r>
          </w:p>
        </w:tc>
      </w:tr>
      <w:tr w:rsidR="00171D1D" w:rsidRPr="00592BA7" w:rsidTr="00592BA7">
        <w:trPr>
          <w:trHeight w:val="20"/>
        </w:trPr>
        <w:tc>
          <w:tcPr>
            <w:tcW w:w="261" w:type="pct"/>
            <w:vMerge/>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112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Ночная зона</w:t>
            </w:r>
          </w:p>
        </w:tc>
        <w:tc>
          <w:tcPr>
            <w:tcW w:w="66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1,79</w:t>
            </w:r>
          </w:p>
        </w:tc>
        <w:tc>
          <w:tcPr>
            <w:tcW w:w="729"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1,79</w:t>
            </w:r>
          </w:p>
        </w:tc>
        <w:tc>
          <w:tcPr>
            <w:tcW w:w="41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1,79</w:t>
            </w:r>
          </w:p>
        </w:tc>
        <w:tc>
          <w:tcPr>
            <w:tcW w:w="66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2,10</w:t>
            </w:r>
          </w:p>
        </w:tc>
        <w:tc>
          <w:tcPr>
            <w:tcW w:w="729"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2,11</w:t>
            </w:r>
          </w:p>
        </w:tc>
        <w:tc>
          <w:tcPr>
            <w:tcW w:w="415"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3,11</w:t>
            </w:r>
          </w:p>
        </w:tc>
      </w:tr>
      <w:tr w:rsidR="00171D1D" w:rsidRPr="00592BA7" w:rsidTr="00592BA7">
        <w:trPr>
          <w:trHeight w:val="20"/>
        </w:trPr>
        <w:tc>
          <w:tcPr>
            <w:tcW w:w="261" w:type="pct"/>
            <w:vMerge w:val="restar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3.3.</w:t>
            </w:r>
          </w:p>
        </w:tc>
        <w:tc>
          <w:tcPr>
            <w:tcW w:w="4739" w:type="pct"/>
            <w:gridSpan w:val="7"/>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Одноставочный тариф, дифференцированный по трем зонам суток</w:t>
            </w:r>
          </w:p>
        </w:tc>
      </w:tr>
      <w:tr w:rsidR="00171D1D" w:rsidRPr="00592BA7" w:rsidTr="00592BA7">
        <w:trPr>
          <w:trHeight w:val="20"/>
        </w:trPr>
        <w:tc>
          <w:tcPr>
            <w:tcW w:w="261" w:type="pct"/>
            <w:vMerge/>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112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Пиковая зона</w:t>
            </w:r>
          </w:p>
        </w:tc>
        <w:tc>
          <w:tcPr>
            <w:tcW w:w="66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3,37</w:t>
            </w:r>
          </w:p>
        </w:tc>
        <w:tc>
          <w:tcPr>
            <w:tcW w:w="729"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3,37</w:t>
            </w:r>
          </w:p>
        </w:tc>
        <w:tc>
          <w:tcPr>
            <w:tcW w:w="41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3,37</w:t>
            </w:r>
          </w:p>
        </w:tc>
        <w:tc>
          <w:tcPr>
            <w:tcW w:w="66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4,17</w:t>
            </w:r>
          </w:p>
        </w:tc>
        <w:tc>
          <w:tcPr>
            <w:tcW w:w="729"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4,18</w:t>
            </w:r>
          </w:p>
        </w:tc>
        <w:tc>
          <w:tcPr>
            <w:tcW w:w="415"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4,75</w:t>
            </w:r>
          </w:p>
        </w:tc>
      </w:tr>
      <w:tr w:rsidR="00171D1D" w:rsidRPr="00592BA7" w:rsidTr="00592BA7">
        <w:trPr>
          <w:trHeight w:val="20"/>
        </w:trPr>
        <w:tc>
          <w:tcPr>
            <w:tcW w:w="261" w:type="pct"/>
            <w:vMerge/>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112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Полупиковая зона</w:t>
            </w:r>
          </w:p>
        </w:tc>
        <w:tc>
          <w:tcPr>
            <w:tcW w:w="66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2,84</w:t>
            </w:r>
          </w:p>
        </w:tc>
        <w:tc>
          <w:tcPr>
            <w:tcW w:w="729"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2,84</w:t>
            </w:r>
          </w:p>
        </w:tc>
        <w:tc>
          <w:tcPr>
            <w:tcW w:w="41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2,84</w:t>
            </w:r>
          </w:p>
        </w:tc>
        <w:tc>
          <w:tcPr>
            <w:tcW w:w="66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3,09</w:t>
            </w:r>
          </w:p>
        </w:tc>
        <w:tc>
          <w:tcPr>
            <w:tcW w:w="729"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3,10</w:t>
            </w:r>
          </w:p>
        </w:tc>
        <w:tc>
          <w:tcPr>
            <w:tcW w:w="415"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3,89</w:t>
            </w:r>
          </w:p>
        </w:tc>
      </w:tr>
      <w:tr w:rsidR="00171D1D" w:rsidRPr="00592BA7" w:rsidTr="00592BA7">
        <w:trPr>
          <w:trHeight w:val="20"/>
        </w:trPr>
        <w:tc>
          <w:tcPr>
            <w:tcW w:w="261" w:type="pct"/>
            <w:vMerge/>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112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Ночная зона</w:t>
            </w:r>
          </w:p>
        </w:tc>
        <w:tc>
          <w:tcPr>
            <w:tcW w:w="66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1,79</w:t>
            </w:r>
          </w:p>
        </w:tc>
        <w:tc>
          <w:tcPr>
            <w:tcW w:w="729"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1,79</w:t>
            </w:r>
          </w:p>
        </w:tc>
        <w:tc>
          <w:tcPr>
            <w:tcW w:w="41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1,79</w:t>
            </w:r>
          </w:p>
        </w:tc>
        <w:tc>
          <w:tcPr>
            <w:tcW w:w="66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2,10</w:t>
            </w:r>
          </w:p>
        </w:tc>
        <w:tc>
          <w:tcPr>
            <w:tcW w:w="729"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2,11</w:t>
            </w:r>
          </w:p>
        </w:tc>
        <w:tc>
          <w:tcPr>
            <w:tcW w:w="415"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3,11</w:t>
            </w:r>
          </w:p>
        </w:tc>
      </w:tr>
      <w:tr w:rsidR="00171D1D" w:rsidRPr="00592BA7" w:rsidTr="00592BA7">
        <w:trPr>
          <w:trHeight w:val="20"/>
        </w:trPr>
        <w:tc>
          <w:tcPr>
            <w:tcW w:w="261"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4.</w:t>
            </w:r>
          </w:p>
        </w:tc>
        <w:tc>
          <w:tcPr>
            <w:tcW w:w="4739" w:type="pct"/>
            <w:gridSpan w:val="7"/>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Население, проживающее в городских населенных пунктах в домах, оборудованных электроотопительными установками и не оборудованных стационарными электроплитами</w:t>
            </w:r>
          </w:p>
        </w:tc>
      </w:tr>
      <w:tr w:rsidR="00171D1D" w:rsidRPr="00592BA7" w:rsidTr="00592BA7">
        <w:trPr>
          <w:trHeight w:val="20"/>
        </w:trPr>
        <w:tc>
          <w:tcPr>
            <w:tcW w:w="261"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4.1.</w:t>
            </w:r>
          </w:p>
        </w:tc>
        <w:tc>
          <w:tcPr>
            <w:tcW w:w="112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Одноставочный тариф</w:t>
            </w:r>
          </w:p>
        </w:tc>
        <w:tc>
          <w:tcPr>
            <w:tcW w:w="66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2,84</w:t>
            </w:r>
          </w:p>
        </w:tc>
        <w:tc>
          <w:tcPr>
            <w:tcW w:w="729"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2,84</w:t>
            </w:r>
          </w:p>
        </w:tc>
        <w:tc>
          <w:tcPr>
            <w:tcW w:w="41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2,84</w:t>
            </w:r>
          </w:p>
        </w:tc>
        <w:tc>
          <w:tcPr>
            <w:tcW w:w="66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3,09</w:t>
            </w:r>
          </w:p>
        </w:tc>
        <w:tc>
          <w:tcPr>
            <w:tcW w:w="729"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3,10</w:t>
            </w:r>
          </w:p>
        </w:tc>
        <w:tc>
          <w:tcPr>
            <w:tcW w:w="415"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3,89</w:t>
            </w:r>
          </w:p>
        </w:tc>
      </w:tr>
      <w:tr w:rsidR="00171D1D" w:rsidRPr="00592BA7" w:rsidTr="00592BA7">
        <w:trPr>
          <w:trHeight w:val="20"/>
        </w:trPr>
        <w:tc>
          <w:tcPr>
            <w:tcW w:w="261" w:type="pct"/>
            <w:vMerge w:val="restar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4.2.</w:t>
            </w:r>
          </w:p>
        </w:tc>
        <w:tc>
          <w:tcPr>
            <w:tcW w:w="4739" w:type="pct"/>
            <w:gridSpan w:val="7"/>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Одноставочный тариф, дифференцированный по двум зонам суток</w:t>
            </w:r>
          </w:p>
        </w:tc>
      </w:tr>
      <w:tr w:rsidR="00171D1D" w:rsidRPr="00592BA7" w:rsidTr="00592BA7">
        <w:trPr>
          <w:trHeight w:val="418"/>
        </w:trPr>
        <w:tc>
          <w:tcPr>
            <w:tcW w:w="261" w:type="pct"/>
            <w:vMerge/>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112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Дневная зона (пиковая и полупиковая)</w:t>
            </w:r>
          </w:p>
        </w:tc>
        <w:tc>
          <w:tcPr>
            <w:tcW w:w="66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3,21</w:t>
            </w:r>
          </w:p>
        </w:tc>
        <w:tc>
          <w:tcPr>
            <w:tcW w:w="729"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3,21</w:t>
            </w:r>
          </w:p>
        </w:tc>
        <w:tc>
          <w:tcPr>
            <w:tcW w:w="41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3,21</w:t>
            </w:r>
          </w:p>
        </w:tc>
        <w:tc>
          <w:tcPr>
            <w:tcW w:w="66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3,52</w:t>
            </w:r>
          </w:p>
        </w:tc>
        <w:tc>
          <w:tcPr>
            <w:tcW w:w="729"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3,52</w:t>
            </w:r>
          </w:p>
        </w:tc>
        <w:tc>
          <w:tcPr>
            <w:tcW w:w="415"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4,23</w:t>
            </w:r>
          </w:p>
        </w:tc>
      </w:tr>
      <w:tr w:rsidR="00171D1D" w:rsidRPr="00592BA7" w:rsidTr="00592BA7">
        <w:trPr>
          <w:trHeight w:val="20"/>
        </w:trPr>
        <w:tc>
          <w:tcPr>
            <w:tcW w:w="261" w:type="pct"/>
            <w:vMerge/>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112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Ночная зона</w:t>
            </w:r>
          </w:p>
        </w:tc>
        <w:tc>
          <w:tcPr>
            <w:tcW w:w="66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1,79</w:t>
            </w:r>
          </w:p>
        </w:tc>
        <w:tc>
          <w:tcPr>
            <w:tcW w:w="729"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1,79</w:t>
            </w:r>
          </w:p>
        </w:tc>
        <w:tc>
          <w:tcPr>
            <w:tcW w:w="41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1,79</w:t>
            </w:r>
          </w:p>
        </w:tc>
        <w:tc>
          <w:tcPr>
            <w:tcW w:w="66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2,10</w:t>
            </w:r>
          </w:p>
        </w:tc>
        <w:tc>
          <w:tcPr>
            <w:tcW w:w="729"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2,11</w:t>
            </w:r>
          </w:p>
        </w:tc>
        <w:tc>
          <w:tcPr>
            <w:tcW w:w="415"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3,11</w:t>
            </w:r>
          </w:p>
        </w:tc>
      </w:tr>
      <w:tr w:rsidR="00171D1D" w:rsidRPr="00592BA7" w:rsidTr="00592BA7">
        <w:trPr>
          <w:trHeight w:val="20"/>
        </w:trPr>
        <w:tc>
          <w:tcPr>
            <w:tcW w:w="261" w:type="pct"/>
            <w:vMerge w:val="restar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4.3.</w:t>
            </w:r>
          </w:p>
        </w:tc>
        <w:tc>
          <w:tcPr>
            <w:tcW w:w="4739" w:type="pct"/>
            <w:gridSpan w:val="7"/>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Одноставочный тариф, дифференцированный по трем зонам суток</w:t>
            </w:r>
          </w:p>
        </w:tc>
      </w:tr>
      <w:tr w:rsidR="00171D1D" w:rsidRPr="00592BA7" w:rsidTr="00592BA7">
        <w:trPr>
          <w:trHeight w:val="20"/>
        </w:trPr>
        <w:tc>
          <w:tcPr>
            <w:tcW w:w="261" w:type="pct"/>
            <w:vMerge/>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112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Пиковая зона</w:t>
            </w:r>
          </w:p>
        </w:tc>
        <w:tc>
          <w:tcPr>
            <w:tcW w:w="66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3,37</w:t>
            </w:r>
          </w:p>
        </w:tc>
        <w:tc>
          <w:tcPr>
            <w:tcW w:w="729"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3,37</w:t>
            </w:r>
          </w:p>
        </w:tc>
        <w:tc>
          <w:tcPr>
            <w:tcW w:w="41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3,37</w:t>
            </w:r>
          </w:p>
        </w:tc>
        <w:tc>
          <w:tcPr>
            <w:tcW w:w="66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4,17</w:t>
            </w:r>
          </w:p>
        </w:tc>
        <w:tc>
          <w:tcPr>
            <w:tcW w:w="729"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4,18</w:t>
            </w:r>
          </w:p>
        </w:tc>
        <w:tc>
          <w:tcPr>
            <w:tcW w:w="415"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4,75</w:t>
            </w:r>
          </w:p>
        </w:tc>
      </w:tr>
      <w:tr w:rsidR="00171D1D" w:rsidRPr="00592BA7" w:rsidTr="00592BA7">
        <w:trPr>
          <w:trHeight w:val="20"/>
        </w:trPr>
        <w:tc>
          <w:tcPr>
            <w:tcW w:w="261" w:type="pct"/>
            <w:vMerge/>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112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Полупиковая зона</w:t>
            </w:r>
          </w:p>
        </w:tc>
        <w:tc>
          <w:tcPr>
            <w:tcW w:w="66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2,84</w:t>
            </w:r>
          </w:p>
        </w:tc>
        <w:tc>
          <w:tcPr>
            <w:tcW w:w="729"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2,84</w:t>
            </w:r>
          </w:p>
        </w:tc>
        <w:tc>
          <w:tcPr>
            <w:tcW w:w="41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2,84</w:t>
            </w:r>
          </w:p>
        </w:tc>
        <w:tc>
          <w:tcPr>
            <w:tcW w:w="66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3,09</w:t>
            </w:r>
          </w:p>
        </w:tc>
        <w:tc>
          <w:tcPr>
            <w:tcW w:w="729"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3,10</w:t>
            </w:r>
          </w:p>
        </w:tc>
        <w:tc>
          <w:tcPr>
            <w:tcW w:w="415"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3,89</w:t>
            </w:r>
          </w:p>
        </w:tc>
      </w:tr>
      <w:tr w:rsidR="00171D1D" w:rsidRPr="00592BA7" w:rsidTr="00592BA7">
        <w:trPr>
          <w:trHeight w:val="20"/>
        </w:trPr>
        <w:tc>
          <w:tcPr>
            <w:tcW w:w="261" w:type="pct"/>
            <w:vMerge/>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112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Ночная зона</w:t>
            </w:r>
          </w:p>
        </w:tc>
        <w:tc>
          <w:tcPr>
            <w:tcW w:w="66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1,79</w:t>
            </w:r>
          </w:p>
        </w:tc>
        <w:tc>
          <w:tcPr>
            <w:tcW w:w="729"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1,79</w:t>
            </w:r>
          </w:p>
        </w:tc>
        <w:tc>
          <w:tcPr>
            <w:tcW w:w="41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1,79</w:t>
            </w:r>
          </w:p>
        </w:tc>
        <w:tc>
          <w:tcPr>
            <w:tcW w:w="66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2,10</w:t>
            </w:r>
          </w:p>
        </w:tc>
        <w:tc>
          <w:tcPr>
            <w:tcW w:w="729"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2,11</w:t>
            </w:r>
          </w:p>
        </w:tc>
        <w:tc>
          <w:tcPr>
            <w:tcW w:w="415"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3,11</w:t>
            </w:r>
          </w:p>
        </w:tc>
      </w:tr>
      <w:tr w:rsidR="00171D1D" w:rsidRPr="00592BA7" w:rsidTr="00592BA7">
        <w:trPr>
          <w:trHeight w:val="20"/>
        </w:trPr>
        <w:tc>
          <w:tcPr>
            <w:tcW w:w="261"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5.</w:t>
            </w:r>
          </w:p>
        </w:tc>
        <w:tc>
          <w:tcPr>
            <w:tcW w:w="4739" w:type="pct"/>
            <w:gridSpan w:val="7"/>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Население, проживающее в сельских населенных пунктах</w:t>
            </w:r>
          </w:p>
        </w:tc>
      </w:tr>
      <w:tr w:rsidR="00171D1D" w:rsidRPr="00592BA7" w:rsidTr="00592BA7">
        <w:trPr>
          <w:trHeight w:val="20"/>
        </w:trPr>
        <w:tc>
          <w:tcPr>
            <w:tcW w:w="261"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5.1.</w:t>
            </w:r>
          </w:p>
        </w:tc>
        <w:tc>
          <w:tcPr>
            <w:tcW w:w="112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Одноставочный тариф</w:t>
            </w:r>
          </w:p>
        </w:tc>
        <w:tc>
          <w:tcPr>
            <w:tcW w:w="66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2,84</w:t>
            </w:r>
          </w:p>
        </w:tc>
        <w:tc>
          <w:tcPr>
            <w:tcW w:w="729"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2,84</w:t>
            </w:r>
          </w:p>
        </w:tc>
        <w:tc>
          <w:tcPr>
            <w:tcW w:w="41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2,84</w:t>
            </w:r>
          </w:p>
        </w:tc>
        <w:tc>
          <w:tcPr>
            <w:tcW w:w="66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3,09</w:t>
            </w:r>
          </w:p>
        </w:tc>
        <w:tc>
          <w:tcPr>
            <w:tcW w:w="729"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3,10</w:t>
            </w:r>
          </w:p>
        </w:tc>
        <w:tc>
          <w:tcPr>
            <w:tcW w:w="415"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3,89</w:t>
            </w:r>
          </w:p>
        </w:tc>
      </w:tr>
      <w:tr w:rsidR="00171D1D" w:rsidRPr="00592BA7" w:rsidTr="00592BA7">
        <w:trPr>
          <w:trHeight w:val="20"/>
        </w:trPr>
        <w:tc>
          <w:tcPr>
            <w:tcW w:w="261" w:type="pct"/>
            <w:vMerge w:val="restar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5.2.</w:t>
            </w:r>
          </w:p>
        </w:tc>
        <w:tc>
          <w:tcPr>
            <w:tcW w:w="4739" w:type="pct"/>
            <w:gridSpan w:val="7"/>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Одноставочный тариф, дифференцированный по двум зонам суток</w:t>
            </w:r>
          </w:p>
        </w:tc>
      </w:tr>
      <w:tr w:rsidR="00171D1D" w:rsidRPr="00592BA7" w:rsidTr="00592BA7">
        <w:trPr>
          <w:trHeight w:val="278"/>
        </w:trPr>
        <w:tc>
          <w:tcPr>
            <w:tcW w:w="261" w:type="pct"/>
            <w:vMerge/>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112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Дневная зона (пиковая и полупиковая)</w:t>
            </w:r>
          </w:p>
        </w:tc>
        <w:tc>
          <w:tcPr>
            <w:tcW w:w="66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3,21</w:t>
            </w:r>
          </w:p>
        </w:tc>
        <w:tc>
          <w:tcPr>
            <w:tcW w:w="729"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3,21</w:t>
            </w:r>
          </w:p>
        </w:tc>
        <w:tc>
          <w:tcPr>
            <w:tcW w:w="41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3,21</w:t>
            </w:r>
          </w:p>
        </w:tc>
        <w:tc>
          <w:tcPr>
            <w:tcW w:w="66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3,52</w:t>
            </w:r>
          </w:p>
        </w:tc>
        <w:tc>
          <w:tcPr>
            <w:tcW w:w="729"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3,52</w:t>
            </w:r>
          </w:p>
        </w:tc>
        <w:tc>
          <w:tcPr>
            <w:tcW w:w="415"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4,23</w:t>
            </w:r>
          </w:p>
        </w:tc>
      </w:tr>
      <w:tr w:rsidR="00171D1D" w:rsidRPr="00592BA7" w:rsidTr="00592BA7">
        <w:trPr>
          <w:trHeight w:val="20"/>
        </w:trPr>
        <w:tc>
          <w:tcPr>
            <w:tcW w:w="261" w:type="pct"/>
            <w:vMerge/>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112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Ночная зона</w:t>
            </w:r>
          </w:p>
        </w:tc>
        <w:tc>
          <w:tcPr>
            <w:tcW w:w="66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1,79</w:t>
            </w:r>
          </w:p>
        </w:tc>
        <w:tc>
          <w:tcPr>
            <w:tcW w:w="729"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1,79</w:t>
            </w:r>
          </w:p>
        </w:tc>
        <w:tc>
          <w:tcPr>
            <w:tcW w:w="41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1,79</w:t>
            </w:r>
          </w:p>
        </w:tc>
        <w:tc>
          <w:tcPr>
            <w:tcW w:w="66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2,10</w:t>
            </w:r>
          </w:p>
        </w:tc>
        <w:tc>
          <w:tcPr>
            <w:tcW w:w="729"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2,11</w:t>
            </w:r>
          </w:p>
        </w:tc>
        <w:tc>
          <w:tcPr>
            <w:tcW w:w="415"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3,11</w:t>
            </w:r>
          </w:p>
        </w:tc>
      </w:tr>
      <w:tr w:rsidR="00171D1D" w:rsidRPr="00592BA7" w:rsidTr="00592BA7">
        <w:trPr>
          <w:trHeight w:val="20"/>
        </w:trPr>
        <w:tc>
          <w:tcPr>
            <w:tcW w:w="261" w:type="pct"/>
            <w:vMerge w:val="restar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5.3.</w:t>
            </w:r>
          </w:p>
        </w:tc>
        <w:tc>
          <w:tcPr>
            <w:tcW w:w="4739" w:type="pct"/>
            <w:gridSpan w:val="7"/>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Одноставочный тариф, дифференцированный по трем зонам суток </w:t>
            </w:r>
          </w:p>
        </w:tc>
      </w:tr>
      <w:tr w:rsidR="00171D1D" w:rsidRPr="00592BA7" w:rsidTr="00592BA7">
        <w:trPr>
          <w:trHeight w:val="20"/>
        </w:trPr>
        <w:tc>
          <w:tcPr>
            <w:tcW w:w="261" w:type="pct"/>
            <w:vMerge/>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112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Пиковая зона</w:t>
            </w:r>
          </w:p>
        </w:tc>
        <w:tc>
          <w:tcPr>
            <w:tcW w:w="66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3,37</w:t>
            </w:r>
          </w:p>
        </w:tc>
        <w:tc>
          <w:tcPr>
            <w:tcW w:w="729"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3,37</w:t>
            </w:r>
          </w:p>
        </w:tc>
        <w:tc>
          <w:tcPr>
            <w:tcW w:w="41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3,37</w:t>
            </w:r>
          </w:p>
        </w:tc>
        <w:tc>
          <w:tcPr>
            <w:tcW w:w="66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4,17</w:t>
            </w:r>
          </w:p>
        </w:tc>
        <w:tc>
          <w:tcPr>
            <w:tcW w:w="729"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4,18</w:t>
            </w:r>
          </w:p>
        </w:tc>
        <w:tc>
          <w:tcPr>
            <w:tcW w:w="415"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4,75</w:t>
            </w:r>
          </w:p>
        </w:tc>
      </w:tr>
      <w:tr w:rsidR="00171D1D" w:rsidRPr="00592BA7" w:rsidTr="00592BA7">
        <w:trPr>
          <w:trHeight w:val="20"/>
        </w:trPr>
        <w:tc>
          <w:tcPr>
            <w:tcW w:w="261" w:type="pct"/>
            <w:vMerge/>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112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Полупиковая зона</w:t>
            </w:r>
          </w:p>
        </w:tc>
        <w:tc>
          <w:tcPr>
            <w:tcW w:w="66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2,84</w:t>
            </w:r>
          </w:p>
        </w:tc>
        <w:tc>
          <w:tcPr>
            <w:tcW w:w="729"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2,84</w:t>
            </w:r>
          </w:p>
        </w:tc>
        <w:tc>
          <w:tcPr>
            <w:tcW w:w="41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2,84</w:t>
            </w:r>
          </w:p>
        </w:tc>
        <w:tc>
          <w:tcPr>
            <w:tcW w:w="66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3,09</w:t>
            </w:r>
          </w:p>
        </w:tc>
        <w:tc>
          <w:tcPr>
            <w:tcW w:w="729"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3,10</w:t>
            </w:r>
          </w:p>
        </w:tc>
        <w:tc>
          <w:tcPr>
            <w:tcW w:w="415"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3,89</w:t>
            </w:r>
          </w:p>
        </w:tc>
      </w:tr>
      <w:tr w:rsidR="00171D1D" w:rsidRPr="00592BA7" w:rsidTr="00592BA7">
        <w:trPr>
          <w:trHeight w:val="20"/>
        </w:trPr>
        <w:tc>
          <w:tcPr>
            <w:tcW w:w="261" w:type="pct"/>
            <w:vMerge/>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112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Ночная зона</w:t>
            </w:r>
          </w:p>
        </w:tc>
        <w:tc>
          <w:tcPr>
            <w:tcW w:w="66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1,79</w:t>
            </w:r>
          </w:p>
        </w:tc>
        <w:tc>
          <w:tcPr>
            <w:tcW w:w="729"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1,79</w:t>
            </w:r>
          </w:p>
        </w:tc>
        <w:tc>
          <w:tcPr>
            <w:tcW w:w="41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1,79</w:t>
            </w:r>
          </w:p>
        </w:tc>
        <w:tc>
          <w:tcPr>
            <w:tcW w:w="66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2,10</w:t>
            </w:r>
          </w:p>
        </w:tc>
        <w:tc>
          <w:tcPr>
            <w:tcW w:w="729"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2,11</w:t>
            </w:r>
          </w:p>
        </w:tc>
        <w:tc>
          <w:tcPr>
            <w:tcW w:w="415"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3,11</w:t>
            </w:r>
          </w:p>
        </w:tc>
      </w:tr>
    </w:tbl>
    <w:p w:rsidR="00171D1D" w:rsidRPr="00592BA7" w:rsidRDefault="00171D1D" w:rsidP="00592BA7">
      <w:pPr>
        <w:jc w:val="both"/>
        <w:rPr>
          <w:rFonts w:ascii="Times New Roman" w:hAnsi="Times New Roman" w:cs="Times New Roman"/>
          <w:sz w:val="20"/>
          <w:szCs w:val="20"/>
        </w:rPr>
      </w:pPr>
    </w:p>
    <w:p w:rsidR="00171D1D" w:rsidRPr="00592BA7" w:rsidRDefault="00171D1D" w:rsidP="00592BA7">
      <w:pPr>
        <w:jc w:val="both"/>
        <w:rPr>
          <w:rFonts w:ascii="Times New Roman" w:hAnsi="Times New Roman" w:cs="Times New Roman"/>
          <w:sz w:val="20"/>
          <w:szCs w:val="20"/>
        </w:rPr>
        <w:sectPr w:rsidR="00171D1D" w:rsidRPr="00592BA7" w:rsidSect="00592BA7">
          <w:pgSz w:w="16838" w:h="11906" w:orient="landscape"/>
          <w:pgMar w:top="993" w:right="1134" w:bottom="851" w:left="1134" w:header="709" w:footer="459" w:gutter="0"/>
          <w:cols w:space="708"/>
          <w:titlePg/>
          <w:docGrid w:linePitch="360"/>
        </w:sectPr>
      </w:pP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Нормативы потребления представлены в таблице 3.1.3.3. Нормативы утверждены Постановлением Кабинета Министров Чувашской Республики «Об утверждении нормативов потребления коммунальных услуг по электроснабжению и нормативов потребления электрической энергии в целях содержания общего имущества в многоквартирном доме на территории Чувашской Республики и о признании утратившими силу некоторых решений Кабинета Министров Чувашской Республики» №215 от 31 мая 2017 г.</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Таблица 3.1.3.3</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Утвержденные нормативы потребления электрической энергии, кВт×ч на 1 чел. в месяц</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5"/>
        <w:gridCol w:w="3715"/>
        <w:gridCol w:w="1249"/>
        <w:gridCol w:w="1082"/>
        <w:gridCol w:w="668"/>
        <w:gridCol w:w="631"/>
        <w:gridCol w:w="631"/>
        <w:gridCol w:w="631"/>
        <w:gridCol w:w="731"/>
      </w:tblGrid>
      <w:tr w:rsidR="00171D1D" w:rsidRPr="00592BA7" w:rsidTr="00592BA7">
        <w:tc>
          <w:tcPr>
            <w:tcW w:w="262" w:type="pct"/>
            <w:vMerge w:val="restar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пп</w:t>
            </w:r>
          </w:p>
        </w:tc>
        <w:tc>
          <w:tcPr>
            <w:tcW w:w="1885" w:type="pct"/>
            <w:vMerge w:val="restar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Категория </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жилых помещений</w:t>
            </w:r>
          </w:p>
        </w:tc>
        <w:tc>
          <w:tcPr>
            <w:tcW w:w="634" w:type="pct"/>
            <w:vMerge w:val="restar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Единица измерения</w:t>
            </w:r>
          </w:p>
        </w:tc>
        <w:tc>
          <w:tcPr>
            <w:tcW w:w="549" w:type="pct"/>
            <w:vMerge w:val="restar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Количество комнат в жилом помещении</w:t>
            </w:r>
          </w:p>
        </w:tc>
        <w:tc>
          <w:tcPr>
            <w:tcW w:w="1670" w:type="pct"/>
            <w:gridSpan w:val="5"/>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Норматив потребления</w:t>
            </w:r>
          </w:p>
        </w:tc>
      </w:tr>
      <w:tr w:rsidR="00171D1D" w:rsidRPr="00592BA7" w:rsidTr="00592BA7">
        <w:tc>
          <w:tcPr>
            <w:tcW w:w="262" w:type="pct"/>
            <w:vMerge/>
            <w:shd w:val="clear" w:color="auto" w:fill="auto"/>
            <w:vAlign w:val="center"/>
          </w:tcPr>
          <w:p w:rsidR="00171D1D" w:rsidRPr="00592BA7" w:rsidRDefault="00171D1D" w:rsidP="00592BA7">
            <w:pPr>
              <w:jc w:val="both"/>
              <w:rPr>
                <w:rFonts w:ascii="Times New Roman" w:hAnsi="Times New Roman" w:cs="Times New Roman"/>
                <w:sz w:val="20"/>
                <w:szCs w:val="20"/>
              </w:rPr>
            </w:pPr>
          </w:p>
        </w:tc>
        <w:tc>
          <w:tcPr>
            <w:tcW w:w="1885" w:type="pct"/>
            <w:vMerge/>
            <w:shd w:val="clear" w:color="auto" w:fill="auto"/>
            <w:vAlign w:val="center"/>
          </w:tcPr>
          <w:p w:rsidR="00171D1D" w:rsidRPr="00592BA7" w:rsidRDefault="00171D1D" w:rsidP="00592BA7">
            <w:pPr>
              <w:jc w:val="both"/>
              <w:rPr>
                <w:rFonts w:ascii="Times New Roman" w:hAnsi="Times New Roman" w:cs="Times New Roman"/>
                <w:sz w:val="20"/>
                <w:szCs w:val="20"/>
              </w:rPr>
            </w:pPr>
          </w:p>
        </w:tc>
        <w:tc>
          <w:tcPr>
            <w:tcW w:w="634" w:type="pct"/>
            <w:vMerge/>
            <w:shd w:val="clear" w:color="auto" w:fill="auto"/>
            <w:vAlign w:val="center"/>
          </w:tcPr>
          <w:p w:rsidR="00171D1D" w:rsidRPr="00592BA7" w:rsidRDefault="00171D1D" w:rsidP="00592BA7">
            <w:pPr>
              <w:jc w:val="both"/>
              <w:rPr>
                <w:rFonts w:ascii="Times New Roman" w:hAnsi="Times New Roman" w:cs="Times New Roman"/>
                <w:sz w:val="20"/>
                <w:szCs w:val="20"/>
              </w:rPr>
            </w:pPr>
          </w:p>
        </w:tc>
        <w:tc>
          <w:tcPr>
            <w:tcW w:w="549" w:type="pct"/>
            <w:vMerge/>
            <w:shd w:val="clear" w:color="auto" w:fill="auto"/>
            <w:vAlign w:val="center"/>
          </w:tcPr>
          <w:p w:rsidR="00171D1D" w:rsidRPr="00592BA7" w:rsidRDefault="00171D1D" w:rsidP="00592BA7">
            <w:pPr>
              <w:jc w:val="both"/>
              <w:rPr>
                <w:rFonts w:ascii="Times New Roman" w:hAnsi="Times New Roman" w:cs="Times New Roman"/>
                <w:sz w:val="20"/>
                <w:szCs w:val="20"/>
              </w:rPr>
            </w:pPr>
          </w:p>
        </w:tc>
        <w:tc>
          <w:tcPr>
            <w:tcW w:w="1670" w:type="pct"/>
            <w:gridSpan w:val="5"/>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количество человек, проживающих в помещениях</w:t>
            </w:r>
          </w:p>
        </w:tc>
      </w:tr>
      <w:tr w:rsidR="00171D1D" w:rsidRPr="00592BA7" w:rsidTr="00592BA7">
        <w:tc>
          <w:tcPr>
            <w:tcW w:w="262" w:type="pct"/>
            <w:vMerge/>
            <w:shd w:val="clear" w:color="auto" w:fill="auto"/>
            <w:vAlign w:val="center"/>
          </w:tcPr>
          <w:p w:rsidR="00171D1D" w:rsidRPr="00592BA7" w:rsidRDefault="00171D1D" w:rsidP="00592BA7">
            <w:pPr>
              <w:jc w:val="both"/>
              <w:rPr>
                <w:rFonts w:ascii="Times New Roman" w:hAnsi="Times New Roman" w:cs="Times New Roman"/>
                <w:sz w:val="20"/>
                <w:szCs w:val="20"/>
              </w:rPr>
            </w:pPr>
          </w:p>
        </w:tc>
        <w:tc>
          <w:tcPr>
            <w:tcW w:w="1885" w:type="pct"/>
            <w:vMerge/>
            <w:shd w:val="clear" w:color="auto" w:fill="auto"/>
            <w:vAlign w:val="center"/>
          </w:tcPr>
          <w:p w:rsidR="00171D1D" w:rsidRPr="00592BA7" w:rsidRDefault="00171D1D" w:rsidP="00592BA7">
            <w:pPr>
              <w:jc w:val="both"/>
              <w:rPr>
                <w:rFonts w:ascii="Times New Roman" w:hAnsi="Times New Roman" w:cs="Times New Roman"/>
                <w:sz w:val="20"/>
                <w:szCs w:val="20"/>
              </w:rPr>
            </w:pPr>
          </w:p>
        </w:tc>
        <w:tc>
          <w:tcPr>
            <w:tcW w:w="634" w:type="pct"/>
            <w:vMerge/>
            <w:shd w:val="clear" w:color="auto" w:fill="auto"/>
            <w:vAlign w:val="center"/>
          </w:tcPr>
          <w:p w:rsidR="00171D1D" w:rsidRPr="00592BA7" w:rsidRDefault="00171D1D" w:rsidP="00592BA7">
            <w:pPr>
              <w:jc w:val="both"/>
              <w:rPr>
                <w:rFonts w:ascii="Times New Roman" w:hAnsi="Times New Roman" w:cs="Times New Roman"/>
                <w:sz w:val="20"/>
                <w:szCs w:val="20"/>
              </w:rPr>
            </w:pPr>
          </w:p>
        </w:tc>
        <w:tc>
          <w:tcPr>
            <w:tcW w:w="549" w:type="pct"/>
            <w:vMerge/>
            <w:shd w:val="clear" w:color="auto" w:fill="auto"/>
            <w:vAlign w:val="center"/>
          </w:tcPr>
          <w:p w:rsidR="00171D1D" w:rsidRPr="00592BA7" w:rsidRDefault="00171D1D" w:rsidP="00592BA7">
            <w:pPr>
              <w:jc w:val="both"/>
              <w:rPr>
                <w:rFonts w:ascii="Times New Roman" w:hAnsi="Times New Roman" w:cs="Times New Roman"/>
                <w:sz w:val="20"/>
                <w:szCs w:val="20"/>
              </w:rPr>
            </w:pPr>
          </w:p>
        </w:tc>
        <w:tc>
          <w:tcPr>
            <w:tcW w:w="339"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w:t>
            </w:r>
          </w:p>
        </w:tc>
        <w:tc>
          <w:tcPr>
            <w:tcW w:w="320"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w:t>
            </w:r>
          </w:p>
        </w:tc>
        <w:tc>
          <w:tcPr>
            <w:tcW w:w="320"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w:t>
            </w:r>
          </w:p>
        </w:tc>
        <w:tc>
          <w:tcPr>
            <w:tcW w:w="320"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w:t>
            </w:r>
          </w:p>
        </w:tc>
        <w:tc>
          <w:tcPr>
            <w:tcW w:w="371"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5 и более</w:t>
            </w:r>
          </w:p>
        </w:tc>
      </w:tr>
      <w:tr w:rsidR="00171D1D" w:rsidRPr="00592BA7" w:rsidTr="00592BA7">
        <w:tc>
          <w:tcPr>
            <w:tcW w:w="262" w:type="pct"/>
            <w:vMerge w:val="restar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w:t>
            </w:r>
          </w:p>
        </w:tc>
        <w:tc>
          <w:tcPr>
            <w:tcW w:w="1885" w:type="pct"/>
            <w:vMerge w:val="restar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Многоквартирные дома, жилые дома, общежития квартирного типа, не оборудованные в установленном порядке стационарными электроплитами для приготовления пищи, электроотопительными, электронагревательными установками для целей горячего водоснабжения</w:t>
            </w:r>
          </w:p>
        </w:tc>
        <w:tc>
          <w:tcPr>
            <w:tcW w:w="634" w:type="pct"/>
            <w:vMerge w:val="restar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кВт</w:t>
            </w:r>
            <w:r w:rsidRPr="00592BA7">
              <w:rPr>
                <w:rFonts w:ascii="Times New Roman" w:hAnsi="Times New Roman" w:cs="Times New Roman"/>
                <w:sz w:val="20"/>
                <w:szCs w:val="20"/>
              </w:rPr>
              <w:sym w:font="Symbol" w:char="F0D7"/>
            </w:r>
            <w:r w:rsidRPr="00592BA7">
              <w:rPr>
                <w:rFonts w:ascii="Times New Roman" w:hAnsi="Times New Roman" w:cs="Times New Roman"/>
                <w:sz w:val="20"/>
                <w:szCs w:val="20"/>
              </w:rPr>
              <w:t>ч в месяц на человека</w:t>
            </w:r>
          </w:p>
        </w:tc>
        <w:tc>
          <w:tcPr>
            <w:tcW w:w="549"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w:t>
            </w:r>
          </w:p>
        </w:tc>
        <w:tc>
          <w:tcPr>
            <w:tcW w:w="339"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74</w:t>
            </w:r>
          </w:p>
        </w:tc>
        <w:tc>
          <w:tcPr>
            <w:tcW w:w="320"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46</w:t>
            </w:r>
          </w:p>
        </w:tc>
        <w:tc>
          <w:tcPr>
            <w:tcW w:w="320"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36</w:t>
            </w:r>
          </w:p>
        </w:tc>
        <w:tc>
          <w:tcPr>
            <w:tcW w:w="320"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29</w:t>
            </w:r>
          </w:p>
        </w:tc>
        <w:tc>
          <w:tcPr>
            <w:tcW w:w="371"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25</w:t>
            </w:r>
          </w:p>
        </w:tc>
      </w:tr>
      <w:tr w:rsidR="00171D1D" w:rsidRPr="00592BA7" w:rsidTr="00592BA7">
        <w:tc>
          <w:tcPr>
            <w:tcW w:w="262" w:type="pct"/>
            <w:vMerge/>
            <w:vAlign w:val="center"/>
          </w:tcPr>
          <w:p w:rsidR="00171D1D" w:rsidRPr="00592BA7" w:rsidRDefault="00171D1D" w:rsidP="00592BA7">
            <w:pPr>
              <w:jc w:val="both"/>
              <w:rPr>
                <w:rFonts w:ascii="Times New Roman" w:hAnsi="Times New Roman" w:cs="Times New Roman"/>
                <w:sz w:val="20"/>
                <w:szCs w:val="20"/>
              </w:rPr>
            </w:pPr>
          </w:p>
        </w:tc>
        <w:tc>
          <w:tcPr>
            <w:tcW w:w="1885" w:type="pct"/>
            <w:vMerge/>
            <w:vAlign w:val="center"/>
          </w:tcPr>
          <w:p w:rsidR="00171D1D" w:rsidRPr="00592BA7" w:rsidRDefault="00171D1D" w:rsidP="00592BA7">
            <w:pPr>
              <w:jc w:val="both"/>
              <w:rPr>
                <w:rFonts w:ascii="Times New Roman" w:hAnsi="Times New Roman" w:cs="Times New Roman"/>
                <w:sz w:val="20"/>
                <w:szCs w:val="20"/>
              </w:rPr>
            </w:pPr>
          </w:p>
        </w:tc>
        <w:tc>
          <w:tcPr>
            <w:tcW w:w="634" w:type="pct"/>
            <w:vMerge/>
            <w:vAlign w:val="center"/>
          </w:tcPr>
          <w:p w:rsidR="00171D1D" w:rsidRPr="00592BA7" w:rsidRDefault="00171D1D" w:rsidP="00592BA7">
            <w:pPr>
              <w:jc w:val="both"/>
              <w:rPr>
                <w:rFonts w:ascii="Times New Roman" w:hAnsi="Times New Roman" w:cs="Times New Roman"/>
                <w:sz w:val="20"/>
                <w:szCs w:val="20"/>
              </w:rPr>
            </w:pPr>
          </w:p>
        </w:tc>
        <w:tc>
          <w:tcPr>
            <w:tcW w:w="549"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w:t>
            </w:r>
          </w:p>
        </w:tc>
        <w:tc>
          <w:tcPr>
            <w:tcW w:w="339"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96</w:t>
            </w:r>
          </w:p>
        </w:tc>
        <w:tc>
          <w:tcPr>
            <w:tcW w:w="320"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59</w:t>
            </w:r>
          </w:p>
        </w:tc>
        <w:tc>
          <w:tcPr>
            <w:tcW w:w="320"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46</w:t>
            </w:r>
          </w:p>
        </w:tc>
        <w:tc>
          <w:tcPr>
            <w:tcW w:w="320"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37</w:t>
            </w:r>
          </w:p>
        </w:tc>
        <w:tc>
          <w:tcPr>
            <w:tcW w:w="371"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33</w:t>
            </w:r>
          </w:p>
        </w:tc>
      </w:tr>
      <w:tr w:rsidR="00171D1D" w:rsidRPr="00592BA7" w:rsidTr="00592BA7">
        <w:tc>
          <w:tcPr>
            <w:tcW w:w="262" w:type="pct"/>
            <w:vMerge/>
            <w:vAlign w:val="center"/>
          </w:tcPr>
          <w:p w:rsidR="00171D1D" w:rsidRPr="00592BA7" w:rsidRDefault="00171D1D" w:rsidP="00592BA7">
            <w:pPr>
              <w:jc w:val="both"/>
              <w:rPr>
                <w:rFonts w:ascii="Times New Roman" w:hAnsi="Times New Roman" w:cs="Times New Roman"/>
                <w:sz w:val="20"/>
                <w:szCs w:val="20"/>
              </w:rPr>
            </w:pPr>
          </w:p>
        </w:tc>
        <w:tc>
          <w:tcPr>
            <w:tcW w:w="1885" w:type="pct"/>
            <w:vMerge/>
            <w:vAlign w:val="center"/>
          </w:tcPr>
          <w:p w:rsidR="00171D1D" w:rsidRPr="00592BA7" w:rsidRDefault="00171D1D" w:rsidP="00592BA7">
            <w:pPr>
              <w:jc w:val="both"/>
              <w:rPr>
                <w:rFonts w:ascii="Times New Roman" w:hAnsi="Times New Roman" w:cs="Times New Roman"/>
                <w:sz w:val="20"/>
                <w:szCs w:val="20"/>
              </w:rPr>
            </w:pPr>
          </w:p>
        </w:tc>
        <w:tc>
          <w:tcPr>
            <w:tcW w:w="634" w:type="pct"/>
            <w:vMerge/>
            <w:vAlign w:val="center"/>
          </w:tcPr>
          <w:p w:rsidR="00171D1D" w:rsidRPr="00592BA7" w:rsidRDefault="00171D1D" w:rsidP="00592BA7">
            <w:pPr>
              <w:jc w:val="both"/>
              <w:rPr>
                <w:rFonts w:ascii="Times New Roman" w:hAnsi="Times New Roman" w:cs="Times New Roman"/>
                <w:sz w:val="20"/>
                <w:szCs w:val="20"/>
              </w:rPr>
            </w:pPr>
          </w:p>
        </w:tc>
        <w:tc>
          <w:tcPr>
            <w:tcW w:w="549"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w:t>
            </w:r>
          </w:p>
        </w:tc>
        <w:tc>
          <w:tcPr>
            <w:tcW w:w="339"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108</w:t>
            </w:r>
          </w:p>
        </w:tc>
        <w:tc>
          <w:tcPr>
            <w:tcW w:w="320"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67</w:t>
            </w:r>
          </w:p>
        </w:tc>
        <w:tc>
          <w:tcPr>
            <w:tcW w:w="320"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52</w:t>
            </w:r>
          </w:p>
        </w:tc>
        <w:tc>
          <w:tcPr>
            <w:tcW w:w="320"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42</w:t>
            </w:r>
          </w:p>
        </w:tc>
        <w:tc>
          <w:tcPr>
            <w:tcW w:w="371"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37</w:t>
            </w:r>
          </w:p>
        </w:tc>
      </w:tr>
      <w:tr w:rsidR="00171D1D" w:rsidRPr="00592BA7" w:rsidTr="00592BA7">
        <w:tc>
          <w:tcPr>
            <w:tcW w:w="262" w:type="pct"/>
            <w:vMerge/>
            <w:vAlign w:val="center"/>
          </w:tcPr>
          <w:p w:rsidR="00171D1D" w:rsidRPr="00592BA7" w:rsidRDefault="00171D1D" w:rsidP="00592BA7">
            <w:pPr>
              <w:jc w:val="both"/>
              <w:rPr>
                <w:rFonts w:ascii="Times New Roman" w:hAnsi="Times New Roman" w:cs="Times New Roman"/>
                <w:sz w:val="20"/>
                <w:szCs w:val="20"/>
              </w:rPr>
            </w:pPr>
          </w:p>
        </w:tc>
        <w:tc>
          <w:tcPr>
            <w:tcW w:w="1885" w:type="pct"/>
            <w:vMerge/>
            <w:vAlign w:val="center"/>
          </w:tcPr>
          <w:p w:rsidR="00171D1D" w:rsidRPr="00592BA7" w:rsidRDefault="00171D1D" w:rsidP="00592BA7">
            <w:pPr>
              <w:jc w:val="both"/>
              <w:rPr>
                <w:rFonts w:ascii="Times New Roman" w:hAnsi="Times New Roman" w:cs="Times New Roman"/>
                <w:sz w:val="20"/>
                <w:szCs w:val="20"/>
              </w:rPr>
            </w:pPr>
          </w:p>
        </w:tc>
        <w:tc>
          <w:tcPr>
            <w:tcW w:w="634" w:type="pct"/>
            <w:vMerge/>
            <w:vAlign w:val="center"/>
          </w:tcPr>
          <w:p w:rsidR="00171D1D" w:rsidRPr="00592BA7" w:rsidRDefault="00171D1D" w:rsidP="00592BA7">
            <w:pPr>
              <w:jc w:val="both"/>
              <w:rPr>
                <w:rFonts w:ascii="Times New Roman" w:hAnsi="Times New Roman" w:cs="Times New Roman"/>
                <w:sz w:val="20"/>
                <w:szCs w:val="20"/>
              </w:rPr>
            </w:pPr>
          </w:p>
        </w:tc>
        <w:tc>
          <w:tcPr>
            <w:tcW w:w="549"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 и более</w:t>
            </w:r>
          </w:p>
        </w:tc>
        <w:tc>
          <w:tcPr>
            <w:tcW w:w="339"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117</w:t>
            </w:r>
          </w:p>
        </w:tc>
        <w:tc>
          <w:tcPr>
            <w:tcW w:w="320"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73</w:t>
            </w:r>
          </w:p>
        </w:tc>
        <w:tc>
          <w:tcPr>
            <w:tcW w:w="320"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56</w:t>
            </w:r>
          </w:p>
        </w:tc>
        <w:tc>
          <w:tcPr>
            <w:tcW w:w="320"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46</w:t>
            </w:r>
          </w:p>
        </w:tc>
        <w:tc>
          <w:tcPr>
            <w:tcW w:w="371"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40</w:t>
            </w:r>
          </w:p>
        </w:tc>
      </w:tr>
      <w:tr w:rsidR="00171D1D" w:rsidRPr="00592BA7" w:rsidTr="00592BA7">
        <w:tc>
          <w:tcPr>
            <w:tcW w:w="262" w:type="pct"/>
            <w:vMerge w:val="restar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w:t>
            </w:r>
          </w:p>
        </w:tc>
        <w:tc>
          <w:tcPr>
            <w:tcW w:w="1885" w:type="pct"/>
            <w:vMerge w:val="restar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Многоквартирные дома, жилые дома, общежития квартирного типа, оборудованные в установленном порядке стационарными электроплитами для приготовления пищи и не оборудованные электроотопительными и электронагревательными установками для целей горячего водоснабжения</w:t>
            </w:r>
          </w:p>
        </w:tc>
        <w:tc>
          <w:tcPr>
            <w:tcW w:w="634" w:type="pct"/>
            <w:vMerge w:val="restar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кВт</w:t>
            </w:r>
            <w:r w:rsidRPr="00592BA7">
              <w:rPr>
                <w:rFonts w:ascii="Times New Roman" w:hAnsi="Times New Roman" w:cs="Times New Roman"/>
                <w:sz w:val="20"/>
                <w:szCs w:val="20"/>
              </w:rPr>
              <w:sym w:font="Symbol" w:char="F0D7"/>
            </w:r>
            <w:r w:rsidRPr="00592BA7">
              <w:rPr>
                <w:rFonts w:ascii="Times New Roman" w:hAnsi="Times New Roman" w:cs="Times New Roman"/>
                <w:sz w:val="20"/>
                <w:szCs w:val="20"/>
              </w:rPr>
              <w:t>ч в месяц на человека</w:t>
            </w:r>
          </w:p>
        </w:tc>
        <w:tc>
          <w:tcPr>
            <w:tcW w:w="549"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w:t>
            </w:r>
          </w:p>
        </w:tc>
        <w:tc>
          <w:tcPr>
            <w:tcW w:w="339"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106</w:t>
            </w:r>
          </w:p>
        </w:tc>
        <w:tc>
          <w:tcPr>
            <w:tcW w:w="320"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66</w:t>
            </w:r>
          </w:p>
        </w:tc>
        <w:tc>
          <w:tcPr>
            <w:tcW w:w="320"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51</w:t>
            </w:r>
          </w:p>
        </w:tc>
        <w:tc>
          <w:tcPr>
            <w:tcW w:w="320"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41</w:t>
            </w:r>
          </w:p>
        </w:tc>
        <w:tc>
          <w:tcPr>
            <w:tcW w:w="371"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36</w:t>
            </w:r>
          </w:p>
        </w:tc>
      </w:tr>
      <w:tr w:rsidR="00171D1D" w:rsidRPr="00592BA7" w:rsidTr="00592BA7">
        <w:tc>
          <w:tcPr>
            <w:tcW w:w="262" w:type="pct"/>
            <w:vMerge/>
            <w:vAlign w:val="center"/>
          </w:tcPr>
          <w:p w:rsidR="00171D1D" w:rsidRPr="00592BA7" w:rsidRDefault="00171D1D" w:rsidP="00592BA7">
            <w:pPr>
              <w:jc w:val="both"/>
              <w:rPr>
                <w:rFonts w:ascii="Times New Roman" w:hAnsi="Times New Roman" w:cs="Times New Roman"/>
                <w:sz w:val="20"/>
                <w:szCs w:val="20"/>
              </w:rPr>
            </w:pPr>
          </w:p>
        </w:tc>
        <w:tc>
          <w:tcPr>
            <w:tcW w:w="1885" w:type="pct"/>
            <w:vMerge/>
            <w:vAlign w:val="center"/>
          </w:tcPr>
          <w:p w:rsidR="00171D1D" w:rsidRPr="00592BA7" w:rsidRDefault="00171D1D" w:rsidP="00592BA7">
            <w:pPr>
              <w:jc w:val="both"/>
              <w:rPr>
                <w:rFonts w:ascii="Times New Roman" w:hAnsi="Times New Roman" w:cs="Times New Roman"/>
                <w:sz w:val="20"/>
                <w:szCs w:val="20"/>
              </w:rPr>
            </w:pPr>
          </w:p>
        </w:tc>
        <w:tc>
          <w:tcPr>
            <w:tcW w:w="634" w:type="pct"/>
            <w:vMerge/>
            <w:vAlign w:val="center"/>
          </w:tcPr>
          <w:p w:rsidR="00171D1D" w:rsidRPr="00592BA7" w:rsidRDefault="00171D1D" w:rsidP="00592BA7">
            <w:pPr>
              <w:jc w:val="both"/>
              <w:rPr>
                <w:rFonts w:ascii="Times New Roman" w:hAnsi="Times New Roman" w:cs="Times New Roman"/>
                <w:sz w:val="20"/>
                <w:szCs w:val="20"/>
              </w:rPr>
            </w:pPr>
          </w:p>
        </w:tc>
        <w:tc>
          <w:tcPr>
            <w:tcW w:w="549"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w:t>
            </w:r>
          </w:p>
        </w:tc>
        <w:tc>
          <w:tcPr>
            <w:tcW w:w="339"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137</w:t>
            </w:r>
          </w:p>
        </w:tc>
        <w:tc>
          <w:tcPr>
            <w:tcW w:w="320"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85</w:t>
            </w:r>
          </w:p>
        </w:tc>
        <w:tc>
          <w:tcPr>
            <w:tcW w:w="320"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66</w:t>
            </w:r>
          </w:p>
        </w:tc>
        <w:tc>
          <w:tcPr>
            <w:tcW w:w="320"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53</w:t>
            </w:r>
          </w:p>
        </w:tc>
        <w:tc>
          <w:tcPr>
            <w:tcW w:w="371"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47</w:t>
            </w:r>
          </w:p>
        </w:tc>
      </w:tr>
      <w:tr w:rsidR="00171D1D" w:rsidRPr="00592BA7" w:rsidTr="00592BA7">
        <w:tc>
          <w:tcPr>
            <w:tcW w:w="262" w:type="pct"/>
            <w:vMerge/>
            <w:vAlign w:val="center"/>
          </w:tcPr>
          <w:p w:rsidR="00171D1D" w:rsidRPr="00592BA7" w:rsidRDefault="00171D1D" w:rsidP="00592BA7">
            <w:pPr>
              <w:jc w:val="both"/>
              <w:rPr>
                <w:rFonts w:ascii="Times New Roman" w:hAnsi="Times New Roman" w:cs="Times New Roman"/>
                <w:sz w:val="20"/>
                <w:szCs w:val="20"/>
              </w:rPr>
            </w:pPr>
          </w:p>
        </w:tc>
        <w:tc>
          <w:tcPr>
            <w:tcW w:w="1885" w:type="pct"/>
            <w:vMerge/>
            <w:vAlign w:val="center"/>
          </w:tcPr>
          <w:p w:rsidR="00171D1D" w:rsidRPr="00592BA7" w:rsidRDefault="00171D1D" w:rsidP="00592BA7">
            <w:pPr>
              <w:jc w:val="both"/>
              <w:rPr>
                <w:rFonts w:ascii="Times New Roman" w:hAnsi="Times New Roman" w:cs="Times New Roman"/>
                <w:sz w:val="20"/>
                <w:szCs w:val="20"/>
              </w:rPr>
            </w:pPr>
          </w:p>
        </w:tc>
        <w:tc>
          <w:tcPr>
            <w:tcW w:w="634" w:type="pct"/>
            <w:vMerge/>
            <w:vAlign w:val="center"/>
          </w:tcPr>
          <w:p w:rsidR="00171D1D" w:rsidRPr="00592BA7" w:rsidRDefault="00171D1D" w:rsidP="00592BA7">
            <w:pPr>
              <w:jc w:val="both"/>
              <w:rPr>
                <w:rFonts w:ascii="Times New Roman" w:hAnsi="Times New Roman" w:cs="Times New Roman"/>
                <w:sz w:val="20"/>
                <w:szCs w:val="20"/>
              </w:rPr>
            </w:pPr>
          </w:p>
        </w:tc>
        <w:tc>
          <w:tcPr>
            <w:tcW w:w="549"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w:t>
            </w:r>
          </w:p>
        </w:tc>
        <w:tc>
          <w:tcPr>
            <w:tcW w:w="339"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155</w:t>
            </w:r>
          </w:p>
        </w:tc>
        <w:tc>
          <w:tcPr>
            <w:tcW w:w="320"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96</w:t>
            </w:r>
          </w:p>
        </w:tc>
        <w:tc>
          <w:tcPr>
            <w:tcW w:w="320"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74</w:t>
            </w:r>
          </w:p>
        </w:tc>
        <w:tc>
          <w:tcPr>
            <w:tcW w:w="320"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61</w:t>
            </w:r>
          </w:p>
        </w:tc>
        <w:tc>
          <w:tcPr>
            <w:tcW w:w="371"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53</w:t>
            </w:r>
          </w:p>
        </w:tc>
      </w:tr>
      <w:tr w:rsidR="00171D1D" w:rsidRPr="00592BA7" w:rsidTr="00592BA7">
        <w:tc>
          <w:tcPr>
            <w:tcW w:w="262" w:type="pct"/>
            <w:vMerge/>
            <w:vAlign w:val="center"/>
          </w:tcPr>
          <w:p w:rsidR="00171D1D" w:rsidRPr="00592BA7" w:rsidRDefault="00171D1D" w:rsidP="00592BA7">
            <w:pPr>
              <w:jc w:val="both"/>
              <w:rPr>
                <w:rFonts w:ascii="Times New Roman" w:hAnsi="Times New Roman" w:cs="Times New Roman"/>
                <w:sz w:val="20"/>
                <w:szCs w:val="20"/>
              </w:rPr>
            </w:pPr>
          </w:p>
        </w:tc>
        <w:tc>
          <w:tcPr>
            <w:tcW w:w="1885" w:type="pct"/>
            <w:vMerge/>
            <w:vAlign w:val="center"/>
          </w:tcPr>
          <w:p w:rsidR="00171D1D" w:rsidRPr="00592BA7" w:rsidRDefault="00171D1D" w:rsidP="00592BA7">
            <w:pPr>
              <w:jc w:val="both"/>
              <w:rPr>
                <w:rFonts w:ascii="Times New Roman" w:hAnsi="Times New Roman" w:cs="Times New Roman"/>
                <w:sz w:val="20"/>
                <w:szCs w:val="20"/>
              </w:rPr>
            </w:pPr>
          </w:p>
        </w:tc>
        <w:tc>
          <w:tcPr>
            <w:tcW w:w="634" w:type="pct"/>
            <w:vMerge/>
            <w:vAlign w:val="center"/>
          </w:tcPr>
          <w:p w:rsidR="00171D1D" w:rsidRPr="00592BA7" w:rsidRDefault="00171D1D" w:rsidP="00592BA7">
            <w:pPr>
              <w:jc w:val="both"/>
              <w:rPr>
                <w:rFonts w:ascii="Times New Roman" w:hAnsi="Times New Roman" w:cs="Times New Roman"/>
                <w:sz w:val="20"/>
                <w:szCs w:val="20"/>
              </w:rPr>
            </w:pPr>
          </w:p>
        </w:tc>
        <w:tc>
          <w:tcPr>
            <w:tcW w:w="549"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 и более</w:t>
            </w:r>
          </w:p>
        </w:tc>
        <w:tc>
          <w:tcPr>
            <w:tcW w:w="339"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168</w:t>
            </w:r>
          </w:p>
        </w:tc>
        <w:tc>
          <w:tcPr>
            <w:tcW w:w="320"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104</w:t>
            </w:r>
          </w:p>
        </w:tc>
        <w:tc>
          <w:tcPr>
            <w:tcW w:w="320"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81</w:t>
            </w:r>
          </w:p>
        </w:tc>
        <w:tc>
          <w:tcPr>
            <w:tcW w:w="320"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65</w:t>
            </w:r>
          </w:p>
        </w:tc>
        <w:tc>
          <w:tcPr>
            <w:tcW w:w="371"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57</w:t>
            </w:r>
          </w:p>
        </w:tc>
      </w:tr>
      <w:tr w:rsidR="00171D1D" w:rsidRPr="00592BA7" w:rsidTr="00592BA7">
        <w:tc>
          <w:tcPr>
            <w:tcW w:w="262" w:type="pct"/>
            <w:vMerge w:val="restar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w:t>
            </w:r>
          </w:p>
        </w:tc>
        <w:tc>
          <w:tcPr>
            <w:tcW w:w="1885" w:type="pct"/>
            <w:vMerge w:val="restar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Многоквартирные дома, жилые дома, общежития квартирного типа, не оборудованные стационарными электроплитами, но оборудованные в установленном порядке электроотопительными и (или) электронагревательными установками для целей горячего водоснабжения, в отопительный период</w:t>
            </w:r>
          </w:p>
        </w:tc>
        <w:tc>
          <w:tcPr>
            <w:tcW w:w="634" w:type="pct"/>
            <w:vMerge w:val="restar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кВт</w:t>
            </w:r>
            <w:r w:rsidRPr="00592BA7">
              <w:rPr>
                <w:rFonts w:ascii="Times New Roman" w:hAnsi="Times New Roman" w:cs="Times New Roman"/>
                <w:sz w:val="20"/>
                <w:szCs w:val="20"/>
              </w:rPr>
              <w:sym w:font="Symbol" w:char="F0D7"/>
            </w:r>
            <w:r w:rsidRPr="00592BA7">
              <w:rPr>
                <w:rFonts w:ascii="Times New Roman" w:hAnsi="Times New Roman" w:cs="Times New Roman"/>
                <w:sz w:val="20"/>
                <w:szCs w:val="20"/>
              </w:rPr>
              <w:t>ч в месяц на человека</w:t>
            </w:r>
          </w:p>
        </w:tc>
        <w:tc>
          <w:tcPr>
            <w:tcW w:w="549"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w:t>
            </w:r>
          </w:p>
        </w:tc>
        <w:tc>
          <w:tcPr>
            <w:tcW w:w="339"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168</w:t>
            </w:r>
          </w:p>
        </w:tc>
        <w:tc>
          <w:tcPr>
            <w:tcW w:w="320"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104</w:t>
            </w:r>
          </w:p>
        </w:tc>
        <w:tc>
          <w:tcPr>
            <w:tcW w:w="320"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81</w:t>
            </w:r>
          </w:p>
        </w:tc>
        <w:tc>
          <w:tcPr>
            <w:tcW w:w="320"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66</w:t>
            </w:r>
          </w:p>
        </w:tc>
        <w:tc>
          <w:tcPr>
            <w:tcW w:w="371"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57</w:t>
            </w:r>
          </w:p>
        </w:tc>
      </w:tr>
      <w:tr w:rsidR="00171D1D" w:rsidRPr="00592BA7" w:rsidTr="00592BA7">
        <w:tc>
          <w:tcPr>
            <w:tcW w:w="262" w:type="pct"/>
            <w:vMerge/>
            <w:vAlign w:val="center"/>
          </w:tcPr>
          <w:p w:rsidR="00171D1D" w:rsidRPr="00592BA7" w:rsidRDefault="00171D1D" w:rsidP="00592BA7">
            <w:pPr>
              <w:jc w:val="both"/>
              <w:rPr>
                <w:rFonts w:ascii="Times New Roman" w:hAnsi="Times New Roman" w:cs="Times New Roman"/>
                <w:sz w:val="20"/>
                <w:szCs w:val="20"/>
              </w:rPr>
            </w:pPr>
          </w:p>
        </w:tc>
        <w:tc>
          <w:tcPr>
            <w:tcW w:w="1885" w:type="pct"/>
            <w:vMerge/>
            <w:vAlign w:val="center"/>
          </w:tcPr>
          <w:p w:rsidR="00171D1D" w:rsidRPr="00592BA7" w:rsidRDefault="00171D1D" w:rsidP="00592BA7">
            <w:pPr>
              <w:jc w:val="both"/>
              <w:rPr>
                <w:rFonts w:ascii="Times New Roman" w:hAnsi="Times New Roman" w:cs="Times New Roman"/>
                <w:sz w:val="20"/>
                <w:szCs w:val="20"/>
              </w:rPr>
            </w:pPr>
          </w:p>
        </w:tc>
        <w:tc>
          <w:tcPr>
            <w:tcW w:w="634" w:type="pct"/>
            <w:vMerge/>
            <w:vAlign w:val="center"/>
          </w:tcPr>
          <w:p w:rsidR="00171D1D" w:rsidRPr="00592BA7" w:rsidRDefault="00171D1D" w:rsidP="00592BA7">
            <w:pPr>
              <w:jc w:val="both"/>
              <w:rPr>
                <w:rFonts w:ascii="Times New Roman" w:hAnsi="Times New Roman" w:cs="Times New Roman"/>
                <w:sz w:val="20"/>
                <w:szCs w:val="20"/>
              </w:rPr>
            </w:pPr>
          </w:p>
        </w:tc>
        <w:tc>
          <w:tcPr>
            <w:tcW w:w="549"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w:t>
            </w:r>
          </w:p>
        </w:tc>
        <w:tc>
          <w:tcPr>
            <w:tcW w:w="339"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217</w:t>
            </w:r>
          </w:p>
        </w:tc>
        <w:tc>
          <w:tcPr>
            <w:tcW w:w="320"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135</w:t>
            </w:r>
          </w:p>
        </w:tc>
        <w:tc>
          <w:tcPr>
            <w:tcW w:w="320"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104</w:t>
            </w:r>
          </w:p>
        </w:tc>
        <w:tc>
          <w:tcPr>
            <w:tcW w:w="320"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85</w:t>
            </w:r>
          </w:p>
        </w:tc>
        <w:tc>
          <w:tcPr>
            <w:tcW w:w="371"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74</w:t>
            </w:r>
          </w:p>
        </w:tc>
      </w:tr>
      <w:tr w:rsidR="00171D1D" w:rsidRPr="00592BA7" w:rsidTr="00592BA7">
        <w:tc>
          <w:tcPr>
            <w:tcW w:w="262" w:type="pct"/>
            <w:vMerge/>
            <w:vAlign w:val="center"/>
          </w:tcPr>
          <w:p w:rsidR="00171D1D" w:rsidRPr="00592BA7" w:rsidRDefault="00171D1D" w:rsidP="00592BA7">
            <w:pPr>
              <w:jc w:val="both"/>
              <w:rPr>
                <w:rFonts w:ascii="Times New Roman" w:hAnsi="Times New Roman" w:cs="Times New Roman"/>
                <w:sz w:val="20"/>
                <w:szCs w:val="20"/>
              </w:rPr>
            </w:pPr>
          </w:p>
        </w:tc>
        <w:tc>
          <w:tcPr>
            <w:tcW w:w="1885" w:type="pct"/>
            <w:vMerge/>
            <w:vAlign w:val="center"/>
          </w:tcPr>
          <w:p w:rsidR="00171D1D" w:rsidRPr="00592BA7" w:rsidRDefault="00171D1D" w:rsidP="00592BA7">
            <w:pPr>
              <w:jc w:val="both"/>
              <w:rPr>
                <w:rFonts w:ascii="Times New Roman" w:hAnsi="Times New Roman" w:cs="Times New Roman"/>
                <w:sz w:val="20"/>
                <w:szCs w:val="20"/>
              </w:rPr>
            </w:pPr>
          </w:p>
        </w:tc>
        <w:tc>
          <w:tcPr>
            <w:tcW w:w="634" w:type="pct"/>
            <w:vMerge/>
            <w:vAlign w:val="center"/>
          </w:tcPr>
          <w:p w:rsidR="00171D1D" w:rsidRPr="00592BA7" w:rsidRDefault="00171D1D" w:rsidP="00592BA7">
            <w:pPr>
              <w:jc w:val="both"/>
              <w:rPr>
                <w:rFonts w:ascii="Times New Roman" w:hAnsi="Times New Roman" w:cs="Times New Roman"/>
                <w:sz w:val="20"/>
                <w:szCs w:val="20"/>
              </w:rPr>
            </w:pPr>
          </w:p>
        </w:tc>
        <w:tc>
          <w:tcPr>
            <w:tcW w:w="549"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w:t>
            </w:r>
          </w:p>
        </w:tc>
        <w:tc>
          <w:tcPr>
            <w:tcW w:w="339"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246</w:t>
            </w:r>
          </w:p>
        </w:tc>
        <w:tc>
          <w:tcPr>
            <w:tcW w:w="320"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152</w:t>
            </w:r>
          </w:p>
        </w:tc>
        <w:tc>
          <w:tcPr>
            <w:tcW w:w="320"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118</w:t>
            </w:r>
          </w:p>
        </w:tc>
        <w:tc>
          <w:tcPr>
            <w:tcW w:w="320"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96</w:t>
            </w:r>
          </w:p>
        </w:tc>
        <w:tc>
          <w:tcPr>
            <w:tcW w:w="371"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84</w:t>
            </w:r>
          </w:p>
        </w:tc>
      </w:tr>
      <w:tr w:rsidR="00171D1D" w:rsidRPr="00592BA7" w:rsidTr="00592BA7">
        <w:tc>
          <w:tcPr>
            <w:tcW w:w="262" w:type="pct"/>
            <w:vMerge/>
            <w:vAlign w:val="center"/>
          </w:tcPr>
          <w:p w:rsidR="00171D1D" w:rsidRPr="00592BA7" w:rsidRDefault="00171D1D" w:rsidP="00592BA7">
            <w:pPr>
              <w:jc w:val="both"/>
              <w:rPr>
                <w:rFonts w:ascii="Times New Roman" w:hAnsi="Times New Roman" w:cs="Times New Roman"/>
                <w:sz w:val="20"/>
                <w:szCs w:val="20"/>
              </w:rPr>
            </w:pPr>
          </w:p>
        </w:tc>
        <w:tc>
          <w:tcPr>
            <w:tcW w:w="1885" w:type="pct"/>
            <w:vMerge/>
            <w:vAlign w:val="center"/>
          </w:tcPr>
          <w:p w:rsidR="00171D1D" w:rsidRPr="00592BA7" w:rsidRDefault="00171D1D" w:rsidP="00592BA7">
            <w:pPr>
              <w:jc w:val="both"/>
              <w:rPr>
                <w:rFonts w:ascii="Times New Roman" w:hAnsi="Times New Roman" w:cs="Times New Roman"/>
                <w:sz w:val="20"/>
                <w:szCs w:val="20"/>
              </w:rPr>
            </w:pPr>
          </w:p>
        </w:tc>
        <w:tc>
          <w:tcPr>
            <w:tcW w:w="634" w:type="pct"/>
            <w:vMerge/>
            <w:vAlign w:val="center"/>
          </w:tcPr>
          <w:p w:rsidR="00171D1D" w:rsidRPr="00592BA7" w:rsidRDefault="00171D1D" w:rsidP="00592BA7">
            <w:pPr>
              <w:jc w:val="both"/>
              <w:rPr>
                <w:rFonts w:ascii="Times New Roman" w:hAnsi="Times New Roman" w:cs="Times New Roman"/>
                <w:sz w:val="20"/>
                <w:szCs w:val="20"/>
              </w:rPr>
            </w:pPr>
          </w:p>
        </w:tc>
        <w:tc>
          <w:tcPr>
            <w:tcW w:w="549"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 и более</w:t>
            </w:r>
          </w:p>
        </w:tc>
        <w:tc>
          <w:tcPr>
            <w:tcW w:w="339"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266</w:t>
            </w:r>
          </w:p>
        </w:tc>
        <w:tc>
          <w:tcPr>
            <w:tcW w:w="320"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165</w:t>
            </w:r>
          </w:p>
        </w:tc>
        <w:tc>
          <w:tcPr>
            <w:tcW w:w="320"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128</w:t>
            </w:r>
          </w:p>
        </w:tc>
        <w:tc>
          <w:tcPr>
            <w:tcW w:w="320"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104</w:t>
            </w:r>
          </w:p>
        </w:tc>
        <w:tc>
          <w:tcPr>
            <w:tcW w:w="371"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90</w:t>
            </w:r>
          </w:p>
        </w:tc>
      </w:tr>
      <w:tr w:rsidR="00171D1D" w:rsidRPr="00592BA7" w:rsidTr="00592BA7">
        <w:tc>
          <w:tcPr>
            <w:tcW w:w="262" w:type="pct"/>
            <w:vMerge w:val="restar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w:t>
            </w:r>
          </w:p>
        </w:tc>
        <w:tc>
          <w:tcPr>
            <w:tcW w:w="1885" w:type="pct"/>
            <w:vMerge w:val="restar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Многоквартирные дома, жилые дома, общежития квартирного типа, не оборудованные стационарными электроплитами, но оборудованные в установленном порядке электроотопительными и (или) электронагревательными установками для целей горячего водоснабжения, вне </w:t>
            </w:r>
            <w:r w:rsidRPr="00592BA7">
              <w:rPr>
                <w:rFonts w:ascii="Times New Roman" w:hAnsi="Times New Roman" w:cs="Times New Roman"/>
                <w:sz w:val="20"/>
                <w:szCs w:val="20"/>
              </w:rPr>
              <w:lastRenderedPageBreak/>
              <w:t>отопительного периода</w:t>
            </w:r>
          </w:p>
        </w:tc>
        <w:tc>
          <w:tcPr>
            <w:tcW w:w="634" w:type="pct"/>
            <w:vMerge w:val="restar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кВт</w:t>
            </w:r>
            <w:r w:rsidRPr="00592BA7">
              <w:rPr>
                <w:rFonts w:ascii="Times New Roman" w:hAnsi="Times New Roman" w:cs="Times New Roman"/>
                <w:sz w:val="20"/>
                <w:szCs w:val="20"/>
              </w:rPr>
              <w:sym w:font="Symbol" w:char="F0D7"/>
            </w:r>
            <w:r w:rsidRPr="00592BA7">
              <w:rPr>
                <w:rFonts w:ascii="Times New Roman" w:hAnsi="Times New Roman" w:cs="Times New Roman"/>
                <w:sz w:val="20"/>
                <w:szCs w:val="20"/>
              </w:rPr>
              <w:t>ч в месяц на человека</w:t>
            </w:r>
          </w:p>
        </w:tc>
        <w:tc>
          <w:tcPr>
            <w:tcW w:w="549"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w:t>
            </w:r>
          </w:p>
        </w:tc>
        <w:tc>
          <w:tcPr>
            <w:tcW w:w="339"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98</w:t>
            </w:r>
          </w:p>
        </w:tc>
        <w:tc>
          <w:tcPr>
            <w:tcW w:w="320"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61</w:t>
            </w:r>
          </w:p>
        </w:tc>
        <w:tc>
          <w:tcPr>
            <w:tcW w:w="320"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47</w:t>
            </w:r>
          </w:p>
        </w:tc>
        <w:tc>
          <w:tcPr>
            <w:tcW w:w="320"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38</w:t>
            </w:r>
          </w:p>
        </w:tc>
        <w:tc>
          <w:tcPr>
            <w:tcW w:w="371"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33</w:t>
            </w:r>
          </w:p>
        </w:tc>
      </w:tr>
      <w:tr w:rsidR="00171D1D" w:rsidRPr="00592BA7" w:rsidTr="00592BA7">
        <w:tc>
          <w:tcPr>
            <w:tcW w:w="262" w:type="pct"/>
            <w:vMerge/>
            <w:vAlign w:val="center"/>
          </w:tcPr>
          <w:p w:rsidR="00171D1D" w:rsidRPr="00592BA7" w:rsidRDefault="00171D1D" w:rsidP="00592BA7">
            <w:pPr>
              <w:jc w:val="both"/>
              <w:rPr>
                <w:rFonts w:ascii="Times New Roman" w:hAnsi="Times New Roman" w:cs="Times New Roman"/>
                <w:sz w:val="20"/>
                <w:szCs w:val="20"/>
              </w:rPr>
            </w:pPr>
          </w:p>
        </w:tc>
        <w:tc>
          <w:tcPr>
            <w:tcW w:w="1885" w:type="pct"/>
            <w:vMerge/>
            <w:vAlign w:val="center"/>
          </w:tcPr>
          <w:p w:rsidR="00171D1D" w:rsidRPr="00592BA7" w:rsidRDefault="00171D1D" w:rsidP="00592BA7">
            <w:pPr>
              <w:jc w:val="both"/>
              <w:rPr>
                <w:rFonts w:ascii="Times New Roman" w:hAnsi="Times New Roman" w:cs="Times New Roman"/>
                <w:sz w:val="20"/>
                <w:szCs w:val="20"/>
              </w:rPr>
            </w:pPr>
          </w:p>
        </w:tc>
        <w:tc>
          <w:tcPr>
            <w:tcW w:w="634" w:type="pct"/>
            <w:vMerge/>
            <w:vAlign w:val="center"/>
          </w:tcPr>
          <w:p w:rsidR="00171D1D" w:rsidRPr="00592BA7" w:rsidRDefault="00171D1D" w:rsidP="00592BA7">
            <w:pPr>
              <w:jc w:val="both"/>
              <w:rPr>
                <w:rFonts w:ascii="Times New Roman" w:hAnsi="Times New Roman" w:cs="Times New Roman"/>
                <w:sz w:val="20"/>
                <w:szCs w:val="20"/>
              </w:rPr>
            </w:pPr>
          </w:p>
        </w:tc>
        <w:tc>
          <w:tcPr>
            <w:tcW w:w="549"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w:t>
            </w:r>
          </w:p>
        </w:tc>
        <w:tc>
          <w:tcPr>
            <w:tcW w:w="339"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127</w:t>
            </w:r>
          </w:p>
        </w:tc>
        <w:tc>
          <w:tcPr>
            <w:tcW w:w="320"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78</w:t>
            </w:r>
          </w:p>
        </w:tc>
        <w:tc>
          <w:tcPr>
            <w:tcW w:w="320"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61</w:t>
            </w:r>
          </w:p>
        </w:tc>
        <w:tc>
          <w:tcPr>
            <w:tcW w:w="320"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49</w:t>
            </w:r>
          </w:p>
        </w:tc>
        <w:tc>
          <w:tcPr>
            <w:tcW w:w="371"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43</w:t>
            </w:r>
          </w:p>
        </w:tc>
      </w:tr>
      <w:tr w:rsidR="00171D1D" w:rsidRPr="00592BA7" w:rsidTr="00592BA7">
        <w:tc>
          <w:tcPr>
            <w:tcW w:w="262" w:type="pct"/>
            <w:vMerge/>
            <w:vAlign w:val="center"/>
          </w:tcPr>
          <w:p w:rsidR="00171D1D" w:rsidRPr="00592BA7" w:rsidRDefault="00171D1D" w:rsidP="00592BA7">
            <w:pPr>
              <w:jc w:val="both"/>
              <w:rPr>
                <w:rFonts w:ascii="Times New Roman" w:hAnsi="Times New Roman" w:cs="Times New Roman"/>
                <w:sz w:val="20"/>
                <w:szCs w:val="20"/>
              </w:rPr>
            </w:pPr>
          </w:p>
        </w:tc>
        <w:tc>
          <w:tcPr>
            <w:tcW w:w="1885" w:type="pct"/>
            <w:vMerge/>
            <w:vAlign w:val="center"/>
          </w:tcPr>
          <w:p w:rsidR="00171D1D" w:rsidRPr="00592BA7" w:rsidRDefault="00171D1D" w:rsidP="00592BA7">
            <w:pPr>
              <w:jc w:val="both"/>
              <w:rPr>
                <w:rFonts w:ascii="Times New Roman" w:hAnsi="Times New Roman" w:cs="Times New Roman"/>
                <w:sz w:val="20"/>
                <w:szCs w:val="20"/>
              </w:rPr>
            </w:pPr>
          </w:p>
        </w:tc>
        <w:tc>
          <w:tcPr>
            <w:tcW w:w="634" w:type="pct"/>
            <w:vMerge/>
            <w:vAlign w:val="center"/>
          </w:tcPr>
          <w:p w:rsidR="00171D1D" w:rsidRPr="00592BA7" w:rsidRDefault="00171D1D" w:rsidP="00592BA7">
            <w:pPr>
              <w:jc w:val="both"/>
              <w:rPr>
                <w:rFonts w:ascii="Times New Roman" w:hAnsi="Times New Roman" w:cs="Times New Roman"/>
                <w:sz w:val="20"/>
                <w:szCs w:val="20"/>
              </w:rPr>
            </w:pPr>
          </w:p>
        </w:tc>
        <w:tc>
          <w:tcPr>
            <w:tcW w:w="549"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w:t>
            </w:r>
          </w:p>
        </w:tc>
        <w:tc>
          <w:tcPr>
            <w:tcW w:w="339"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143</w:t>
            </w:r>
          </w:p>
        </w:tc>
        <w:tc>
          <w:tcPr>
            <w:tcW w:w="320"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89</w:t>
            </w:r>
          </w:p>
        </w:tc>
        <w:tc>
          <w:tcPr>
            <w:tcW w:w="320"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69</w:t>
            </w:r>
          </w:p>
        </w:tc>
        <w:tc>
          <w:tcPr>
            <w:tcW w:w="320"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56</w:t>
            </w:r>
          </w:p>
        </w:tc>
        <w:tc>
          <w:tcPr>
            <w:tcW w:w="371"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49</w:t>
            </w:r>
          </w:p>
        </w:tc>
      </w:tr>
      <w:tr w:rsidR="00171D1D" w:rsidRPr="00592BA7" w:rsidTr="00592BA7">
        <w:tc>
          <w:tcPr>
            <w:tcW w:w="262" w:type="pct"/>
            <w:vMerge/>
            <w:vAlign w:val="center"/>
          </w:tcPr>
          <w:p w:rsidR="00171D1D" w:rsidRPr="00592BA7" w:rsidRDefault="00171D1D" w:rsidP="00592BA7">
            <w:pPr>
              <w:jc w:val="both"/>
              <w:rPr>
                <w:rFonts w:ascii="Times New Roman" w:hAnsi="Times New Roman" w:cs="Times New Roman"/>
                <w:sz w:val="20"/>
                <w:szCs w:val="20"/>
              </w:rPr>
            </w:pPr>
          </w:p>
        </w:tc>
        <w:tc>
          <w:tcPr>
            <w:tcW w:w="1885" w:type="pct"/>
            <w:vMerge/>
            <w:vAlign w:val="center"/>
          </w:tcPr>
          <w:p w:rsidR="00171D1D" w:rsidRPr="00592BA7" w:rsidRDefault="00171D1D" w:rsidP="00592BA7">
            <w:pPr>
              <w:jc w:val="both"/>
              <w:rPr>
                <w:rFonts w:ascii="Times New Roman" w:hAnsi="Times New Roman" w:cs="Times New Roman"/>
                <w:sz w:val="20"/>
                <w:szCs w:val="20"/>
              </w:rPr>
            </w:pPr>
          </w:p>
        </w:tc>
        <w:tc>
          <w:tcPr>
            <w:tcW w:w="634" w:type="pct"/>
            <w:vMerge/>
            <w:vAlign w:val="center"/>
          </w:tcPr>
          <w:p w:rsidR="00171D1D" w:rsidRPr="00592BA7" w:rsidRDefault="00171D1D" w:rsidP="00592BA7">
            <w:pPr>
              <w:jc w:val="both"/>
              <w:rPr>
                <w:rFonts w:ascii="Times New Roman" w:hAnsi="Times New Roman" w:cs="Times New Roman"/>
                <w:sz w:val="20"/>
                <w:szCs w:val="20"/>
              </w:rPr>
            </w:pPr>
          </w:p>
        </w:tc>
        <w:tc>
          <w:tcPr>
            <w:tcW w:w="549"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 и более</w:t>
            </w:r>
          </w:p>
        </w:tc>
        <w:tc>
          <w:tcPr>
            <w:tcW w:w="339"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155</w:t>
            </w:r>
          </w:p>
        </w:tc>
        <w:tc>
          <w:tcPr>
            <w:tcW w:w="320"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96</w:t>
            </w:r>
          </w:p>
        </w:tc>
        <w:tc>
          <w:tcPr>
            <w:tcW w:w="320"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74</w:t>
            </w:r>
          </w:p>
        </w:tc>
        <w:tc>
          <w:tcPr>
            <w:tcW w:w="320"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60</w:t>
            </w:r>
          </w:p>
        </w:tc>
        <w:tc>
          <w:tcPr>
            <w:tcW w:w="371"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53</w:t>
            </w:r>
          </w:p>
        </w:tc>
      </w:tr>
      <w:tr w:rsidR="00171D1D" w:rsidRPr="00592BA7" w:rsidTr="00592BA7">
        <w:tc>
          <w:tcPr>
            <w:tcW w:w="262" w:type="pct"/>
            <w:vMerge w:val="restar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5.</w:t>
            </w:r>
          </w:p>
        </w:tc>
        <w:tc>
          <w:tcPr>
            <w:tcW w:w="1885" w:type="pct"/>
            <w:vMerge w:val="restar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Многоквартирные дома, жилые дома, общежития квартирного типа, оборудованные в установленном порядке стационарными электроплитами, электроотопительными и (или) электронагревательными установками для целей горячего водоснабжения</w:t>
            </w:r>
          </w:p>
        </w:tc>
        <w:tc>
          <w:tcPr>
            <w:tcW w:w="634" w:type="pct"/>
            <w:vMerge w:val="restar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кВт</w:t>
            </w:r>
            <w:r w:rsidRPr="00592BA7">
              <w:rPr>
                <w:rFonts w:ascii="Times New Roman" w:hAnsi="Times New Roman" w:cs="Times New Roman"/>
                <w:sz w:val="20"/>
                <w:szCs w:val="20"/>
              </w:rPr>
              <w:sym w:font="Symbol" w:char="F0D7"/>
            </w:r>
            <w:r w:rsidRPr="00592BA7">
              <w:rPr>
                <w:rFonts w:ascii="Times New Roman" w:hAnsi="Times New Roman" w:cs="Times New Roman"/>
                <w:sz w:val="20"/>
                <w:szCs w:val="20"/>
              </w:rPr>
              <w:t>ч в месяц на человека</w:t>
            </w:r>
          </w:p>
        </w:tc>
        <w:tc>
          <w:tcPr>
            <w:tcW w:w="549"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w:t>
            </w:r>
          </w:p>
        </w:tc>
        <w:tc>
          <w:tcPr>
            <w:tcW w:w="339"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298</w:t>
            </w:r>
          </w:p>
        </w:tc>
        <w:tc>
          <w:tcPr>
            <w:tcW w:w="320"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185</w:t>
            </w:r>
          </w:p>
        </w:tc>
        <w:tc>
          <w:tcPr>
            <w:tcW w:w="320"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143</w:t>
            </w:r>
          </w:p>
        </w:tc>
        <w:tc>
          <w:tcPr>
            <w:tcW w:w="320"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116</w:t>
            </w:r>
          </w:p>
        </w:tc>
        <w:tc>
          <w:tcPr>
            <w:tcW w:w="371"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101</w:t>
            </w:r>
          </w:p>
        </w:tc>
      </w:tr>
      <w:tr w:rsidR="00171D1D" w:rsidRPr="00592BA7" w:rsidTr="00592BA7">
        <w:tc>
          <w:tcPr>
            <w:tcW w:w="262" w:type="pct"/>
            <w:vMerge/>
            <w:vAlign w:val="center"/>
          </w:tcPr>
          <w:p w:rsidR="00171D1D" w:rsidRPr="00592BA7" w:rsidRDefault="00171D1D" w:rsidP="00592BA7">
            <w:pPr>
              <w:jc w:val="both"/>
              <w:rPr>
                <w:rFonts w:ascii="Times New Roman" w:hAnsi="Times New Roman" w:cs="Times New Roman"/>
                <w:sz w:val="20"/>
                <w:szCs w:val="20"/>
              </w:rPr>
            </w:pPr>
          </w:p>
        </w:tc>
        <w:tc>
          <w:tcPr>
            <w:tcW w:w="1885" w:type="pct"/>
            <w:vMerge/>
            <w:vAlign w:val="center"/>
          </w:tcPr>
          <w:p w:rsidR="00171D1D" w:rsidRPr="00592BA7" w:rsidRDefault="00171D1D" w:rsidP="00592BA7">
            <w:pPr>
              <w:jc w:val="both"/>
              <w:rPr>
                <w:rFonts w:ascii="Times New Roman" w:hAnsi="Times New Roman" w:cs="Times New Roman"/>
                <w:sz w:val="20"/>
                <w:szCs w:val="20"/>
              </w:rPr>
            </w:pPr>
          </w:p>
        </w:tc>
        <w:tc>
          <w:tcPr>
            <w:tcW w:w="634" w:type="pct"/>
            <w:vMerge/>
            <w:vAlign w:val="center"/>
          </w:tcPr>
          <w:p w:rsidR="00171D1D" w:rsidRPr="00592BA7" w:rsidRDefault="00171D1D" w:rsidP="00592BA7">
            <w:pPr>
              <w:jc w:val="both"/>
              <w:rPr>
                <w:rFonts w:ascii="Times New Roman" w:hAnsi="Times New Roman" w:cs="Times New Roman"/>
                <w:sz w:val="20"/>
                <w:szCs w:val="20"/>
              </w:rPr>
            </w:pPr>
          </w:p>
        </w:tc>
        <w:tc>
          <w:tcPr>
            <w:tcW w:w="549"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w:t>
            </w:r>
          </w:p>
        </w:tc>
        <w:tc>
          <w:tcPr>
            <w:tcW w:w="339"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384</w:t>
            </w:r>
          </w:p>
        </w:tc>
        <w:tc>
          <w:tcPr>
            <w:tcW w:w="320"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238</w:t>
            </w:r>
          </w:p>
        </w:tc>
        <w:tc>
          <w:tcPr>
            <w:tcW w:w="320"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185</w:t>
            </w:r>
          </w:p>
        </w:tc>
        <w:tc>
          <w:tcPr>
            <w:tcW w:w="320"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150</w:t>
            </w:r>
          </w:p>
        </w:tc>
        <w:tc>
          <w:tcPr>
            <w:tcW w:w="371"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131</w:t>
            </w:r>
          </w:p>
        </w:tc>
      </w:tr>
      <w:tr w:rsidR="00171D1D" w:rsidRPr="00592BA7" w:rsidTr="00592BA7">
        <w:tc>
          <w:tcPr>
            <w:tcW w:w="262" w:type="pct"/>
            <w:vMerge/>
            <w:vAlign w:val="center"/>
          </w:tcPr>
          <w:p w:rsidR="00171D1D" w:rsidRPr="00592BA7" w:rsidRDefault="00171D1D" w:rsidP="00592BA7">
            <w:pPr>
              <w:jc w:val="both"/>
              <w:rPr>
                <w:rFonts w:ascii="Times New Roman" w:hAnsi="Times New Roman" w:cs="Times New Roman"/>
                <w:sz w:val="20"/>
                <w:szCs w:val="20"/>
              </w:rPr>
            </w:pPr>
          </w:p>
        </w:tc>
        <w:tc>
          <w:tcPr>
            <w:tcW w:w="1885" w:type="pct"/>
            <w:vMerge/>
            <w:vAlign w:val="center"/>
          </w:tcPr>
          <w:p w:rsidR="00171D1D" w:rsidRPr="00592BA7" w:rsidRDefault="00171D1D" w:rsidP="00592BA7">
            <w:pPr>
              <w:jc w:val="both"/>
              <w:rPr>
                <w:rFonts w:ascii="Times New Roman" w:hAnsi="Times New Roman" w:cs="Times New Roman"/>
                <w:sz w:val="20"/>
                <w:szCs w:val="20"/>
              </w:rPr>
            </w:pPr>
          </w:p>
        </w:tc>
        <w:tc>
          <w:tcPr>
            <w:tcW w:w="634" w:type="pct"/>
            <w:vMerge/>
            <w:vAlign w:val="center"/>
          </w:tcPr>
          <w:p w:rsidR="00171D1D" w:rsidRPr="00592BA7" w:rsidRDefault="00171D1D" w:rsidP="00592BA7">
            <w:pPr>
              <w:jc w:val="both"/>
              <w:rPr>
                <w:rFonts w:ascii="Times New Roman" w:hAnsi="Times New Roman" w:cs="Times New Roman"/>
                <w:sz w:val="20"/>
                <w:szCs w:val="20"/>
              </w:rPr>
            </w:pPr>
          </w:p>
        </w:tc>
        <w:tc>
          <w:tcPr>
            <w:tcW w:w="549"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w:t>
            </w:r>
          </w:p>
        </w:tc>
        <w:tc>
          <w:tcPr>
            <w:tcW w:w="339"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435</w:t>
            </w:r>
          </w:p>
        </w:tc>
        <w:tc>
          <w:tcPr>
            <w:tcW w:w="320"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270</w:t>
            </w:r>
          </w:p>
        </w:tc>
        <w:tc>
          <w:tcPr>
            <w:tcW w:w="320"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209</w:t>
            </w:r>
          </w:p>
        </w:tc>
        <w:tc>
          <w:tcPr>
            <w:tcW w:w="320"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170</w:t>
            </w:r>
          </w:p>
        </w:tc>
        <w:tc>
          <w:tcPr>
            <w:tcW w:w="371"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148</w:t>
            </w:r>
          </w:p>
        </w:tc>
      </w:tr>
      <w:tr w:rsidR="00171D1D" w:rsidRPr="00592BA7" w:rsidTr="00592BA7">
        <w:tc>
          <w:tcPr>
            <w:tcW w:w="262" w:type="pct"/>
            <w:vMerge/>
            <w:vAlign w:val="center"/>
          </w:tcPr>
          <w:p w:rsidR="00171D1D" w:rsidRPr="00592BA7" w:rsidRDefault="00171D1D" w:rsidP="00592BA7">
            <w:pPr>
              <w:jc w:val="both"/>
              <w:rPr>
                <w:rFonts w:ascii="Times New Roman" w:hAnsi="Times New Roman" w:cs="Times New Roman"/>
                <w:sz w:val="20"/>
                <w:szCs w:val="20"/>
              </w:rPr>
            </w:pPr>
          </w:p>
        </w:tc>
        <w:tc>
          <w:tcPr>
            <w:tcW w:w="1885" w:type="pct"/>
            <w:vMerge/>
            <w:vAlign w:val="center"/>
          </w:tcPr>
          <w:p w:rsidR="00171D1D" w:rsidRPr="00592BA7" w:rsidRDefault="00171D1D" w:rsidP="00592BA7">
            <w:pPr>
              <w:jc w:val="both"/>
              <w:rPr>
                <w:rFonts w:ascii="Times New Roman" w:hAnsi="Times New Roman" w:cs="Times New Roman"/>
                <w:sz w:val="20"/>
                <w:szCs w:val="20"/>
              </w:rPr>
            </w:pPr>
          </w:p>
        </w:tc>
        <w:tc>
          <w:tcPr>
            <w:tcW w:w="634" w:type="pct"/>
            <w:vMerge/>
            <w:vAlign w:val="center"/>
          </w:tcPr>
          <w:p w:rsidR="00171D1D" w:rsidRPr="00592BA7" w:rsidRDefault="00171D1D" w:rsidP="00592BA7">
            <w:pPr>
              <w:jc w:val="both"/>
              <w:rPr>
                <w:rFonts w:ascii="Times New Roman" w:hAnsi="Times New Roman" w:cs="Times New Roman"/>
                <w:sz w:val="20"/>
                <w:szCs w:val="20"/>
              </w:rPr>
            </w:pPr>
          </w:p>
        </w:tc>
        <w:tc>
          <w:tcPr>
            <w:tcW w:w="549"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 и более</w:t>
            </w:r>
          </w:p>
        </w:tc>
        <w:tc>
          <w:tcPr>
            <w:tcW w:w="339"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471</w:t>
            </w:r>
          </w:p>
        </w:tc>
        <w:tc>
          <w:tcPr>
            <w:tcW w:w="320"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292</w:t>
            </w:r>
          </w:p>
        </w:tc>
        <w:tc>
          <w:tcPr>
            <w:tcW w:w="320"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226</w:t>
            </w:r>
          </w:p>
        </w:tc>
        <w:tc>
          <w:tcPr>
            <w:tcW w:w="320"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184</w:t>
            </w:r>
          </w:p>
        </w:tc>
        <w:tc>
          <w:tcPr>
            <w:tcW w:w="371"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160</w:t>
            </w:r>
          </w:p>
        </w:tc>
      </w:tr>
    </w:tbl>
    <w:p w:rsidR="00171D1D" w:rsidRPr="00592BA7" w:rsidRDefault="00171D1D" w:rsidP="00592BA7">
      <w:pPr>
        <w:jc w:val="both"/>
        <w:rPr>
          <w:rFonts w:ascii="Times New Roman" w:hAnsi="Times New Roman" w:cs="Times New Roman"/>
          <w:sz w:val="20"/>
          <w:szCs w:val="20"/>
        </w:rPr>
      </w:pP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3.2. Система теплоснабжения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3.2.1. Описание организационной структуры, формы собственности и системы договоров между организациями, а также с потребителями</w:t>
      </w:r>
    </w:p>
    <w:p w:rsidR="00171D1D" w:rsidRPr="00592BA7" w:rsidRDefault="00171D1D" w:rsidP="00592BA7">
      <w:pPr>
        <w:jc w:val="both"/>
        <w:rPr>
          <w:rFonts w:ascii="Times New Roman" w:hAnsi="Times New Roman" w:cs="Times New Roman"/>
          <w:sz w:val="20"/>
          <w:szCs w:val="20"/>
        </w:rPr>
      </w:pP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На территории Шумерлинского муниципального округа по состоянию на 01.01.2024 г. 1 теплоснабжающая организация, производящая, а затем и транспортирующая тепловую энергию потребителям: </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МУП «Юманайское ЖКХ».</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В муниципальном округе договоры теплоснабжения заключаются с абонентами: управляющими организациями, собственниками помещений в многоквартирных жилых домах, собственниками индивидуальных жилых домов, нанимателями помещений в многоквартирных жилых домах, предприятиями. Договоры на отпуск тепловой энергии и теплоносителя заключаются в соответствии с требованиями, относящимися к публичным договорам и договорам энергоснабжения (статьи 426, 539 - 548 Гражданского кодекса Российской Федерации).</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Особенностью функциональной структуры централизованного теплоснабжения Шумерлинского муниципального округа является то, что передача тепловой энергии от источника до потребителя полностью выполняется ресурсоснабжающей организацией. Теплосетевые организации на территории муниципального образования отсутствуют.</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В эксплуатационную зону действия МУП «Юманайское ЖКХ» входит 2 источника тепловой энергии – Котельная с. Юманай и Котельная с. Русские Алгаши.</w:t>
      </w:r>
    </w:p>
    <w:p w:rsidR="00171D1D" w:rsidRPr="00592BA7" w:rsidRDefault="00171D1D" w:rsidP="00592BA7">
      <w:pPr>
        <w:jc w:val="both"/>
        <w:rPr>
          <w:rFonts w:ascii="Times New Roman" w:hAnsi="Times New Roman" w:cs="Times New Roman"/>
          <w:sz w:val="20"/>
          <w:szCs w:val="20"/>
        </w:rPr>
      </w:pP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Таблица 3.2.1.1</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Перечень источников тепловой энергии на территории </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Шумерлинского муниципального округа</w:t>
      </w:r>
    </w:p>
    <w:tbl>
      <w:tblPr>
        <w:tblW w:w="5000" w:type="pct"/>
        <w:jc w:val="righ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426"/>
        <w:gridCol w:w="1640"/>
        <w:gridCol w:w="2088"/>
        <w:gridCol w:w="2623"/>
        <w:gridCol w:w="2882"/>
      </w:tblGrid>
      <w:tr w:rsidR="00171D1D" w:rsidRPr="00592BA7" w:rsidTr="00592BA7">
        <w:trPr>
          <w:trHeight w:val="613"/>
          <w:tblHeader/>
          <w:jc w:val="right"/>
        </w:trPr>
        <w:tc>
          <w:tcPr>
            <w:tcW w:w="220" w:type="pct"/>
            <w:tcBorders>
              <w:top w:val="single" w:sz="4" w:space="0" w:color="auto"/>
              <w:bottom w:val="single" w:sz="4" w:space="0" w:color="auto"/>
              <w:right w:val="single" w:sz="4" w:space="0" w:color="auto"/>
            </w:tcBorders>
            <w:tcMar>
              <w:left w:w="11" w:type="dxa"/>
              <w:right w:w="11"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п/п</w:t>
            </w:r>
          </w:p>
        </w:tc>
        <w:tc>
          <w:tcPr>
            <w:tcW w:w="849"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Наименования источников тепловой энергии</w:t>
            </w:r>
          </w:p>
        </w:tc>
        <w:tc>
          <w:tcPr>
            <w:tcW w:w="1081"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Адрес источника</w:t>
            </w:r>
          </w:p>
        </w:tc>
        <w:tc>
          <w:tcPr>
            <w:tcW w:w="1358" w:type="pct"/>
            <w:tcBorders>
              <w:top w:val="single" w:sz="4" w:space="0" w:color="auto"/>
              <w:left w:val="single" w:sz="4" w:space="0" w:color="auto"/>
              <w:bottom w:val="single" w:sz="4" w:space="0" w:color="auto"/>
              <w:right w:val="single" w:sz="4" w:space="0" w:color="auto"/>
            </w:tcBorders>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Теплоснабжающая (теплосетевая) организация в границах системы теплоснабжения</w:t>
            </w:r>
          </w:p>
        </w:tc>
        <w:tc>
          <w:tcPr>
            <w:tcW w:w="1492"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Наименование утвержденной ЕТО (единой теплоснабжающей организации)</w:t>
            </w:r>
          </w:p>
        </w:tc>
      </w:tr>
      <w:tr w:rsidR="00171D1D" w:rsidRPr="00592BA7" w:rsidTr="00592BA7">
        <w:trPr>
          <w:trHeight w:val="598"/>
          <w:jc w:val="right"/>
        </w:trPr>
        <w:tc>
          <w:tcPr>
            <w:tcW w:w="220" w:type="pct"/>
            <w:tcBorders>
              <w:top w:val="single" w:sz="4" w:space="0" w:color="auto"/>
              <w:bottom w:val="single" w:sz="4" w:space="0" w:color="auto"/>
              <w:right w:val="single" w:sz="4" w:space="0" w:color="auto"/>
            </w:tcBorders>
            <w:tcMar>
              <w:left w:w="11" w:type="dxa"/>
              <w:right w:w="11"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w:t>
            </w:r>
          </w:p>
        </w:tc>
        <w:tc>
          <w:tcPr>
            <w:tcW w:w="849"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Котельная с. Юманай</w:t>
            </w:r>
          </w:p>
        </w:tc>
        <w:tc>
          <w:tcPr>
            <w:tcW w:w="1081"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 Юманай, ул. Мира 6а</w:t>
            </w:r>
          </w:p>
        </w:tc>
        <w:tc>
          <w:tcPr>
            <w:tcW w:w="1358" w:type="pct"/>
            <w:tcBorders>
              <w:top w:val="single" w:sz="4" w:space="0" w:color="auto"/>
              <w:left w:val="single" w:sz="4" w:space="0" w:color="auto"/>
              <w:bottom w:val="single" w:sz="4" w:space="0" w:color="auto"/>
              <w:right w:val="single" w:sz="4" w:space="0" w:color="auto"/>
            </w:tcBorders>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МУП «Юманайское ЖКХ»</w:t>
            </w:r>
          </w:p>
        </w:tc>
        <w:tc>
          <w:tcPr>
            <w:tcW w:w="1492"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r>
      <w:tr w:rsidR="00171D1D" w:rsidRPr="00592BA7" w:rsidTr="00592BA7">
        <w:trPr>
          <w:trHeight w:val="598"/>
          <w:jc w:val="right"/>
        </w:trPr>
        <w:tc>
          <w:tcPr>
            <w:tcW w:w="220" w:type="pct"/>
            <w:tcBorders>
              <w:top w:val="single" w:sz="4" w:space="0" w:color="auto"/>
              <w:bottom w:val="single" w:sz="4" w:space="0" w:color="auto"/>
              <w:right w:val="single" w:sz="4" w:space="0" w:color="auto"/>
            </w:tcBorders>
            <w:tcMar>
              <w:left w:w="11" w:type="dxa"/>
              <w:right w:w="11"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w:t>
            </w:r>
          </w:p>
        </w:tc>
        <w:tc>
          <w:tcPr>
            <w:tcW w:w="849"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Котельная с. Русские Алгаши </w:t>
            </w:r>
          </w:p>
        </w:tc>
        <w:tc>
          <w:tcPr>
            <w:tcW w:w="1081"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 Русские Алгаши, ул. Октябрьская 1в</w:t>
            </w:r>
          </w:p>
        </w:tc>
        <w:tc>
          <w:tcPr>
            <w:tcW w:w="1358" w:type="pct"/>
            <w:tcBorders>
              <w:top w:val="single" w:sz="4" w:space="0" w:color="auto"/>
              <w:left w:val="single" w:sz="4" w:space="0" w:color="auto"/>
              <w:bottom w:val="single" w:sz="4" w:space="0" w:color="auto"/>
              <w:right w:val="single" w:sz="4" w:space="0" w:color="auto"/>
            </w:tcBorders>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МУП «Юманайское ЖКХ»</w:t>
            </w:r>
          </w:p>
        </w:tc>
        <w:tc>
          <w:tcPr>
            <w:tcW w:w="1492"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r>
    </w:tbl>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3.2.2. Анализ существующего технического состояния системы теплоснабжения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3.2.2.1. Анализ эффективности и надежности имеющихся источников теплоснабжения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По состоянию на 01.01.2024 г. на территории Шумерлинского муниципального округа осуществляют выработку тепловой энергии 2 источника тепловой энергии. Суммарная установленная мощность котельных составляет 1,548 Гкал/ч.</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В таблице 3.2.2.1.1 представлен состав и технические характеристики основного оборудования котельных</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Таблица 3.2.2.1.1</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Состав и технические характеристики основного оборудования котельных</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9"/>
        <w:gridCol w:w="1555"/>
        <w:gridCol w:w="651"/>
        <w:gridCol w:w="711"/>
        <w:gridCol w:w="1039"/>
        <w:gridCol w:w="1080"/>
        <w:gridCol w:w="1105"/>
        <w:gridCol w:w="1041"/>
        <w:gridCol w:w="768"/>
        <w:gridCol w:w="1374"/>
      </w:tblGrid>
      <w:tr w:rsidR="00171D1D" w:rsidRPr="00592BA7" w:rsidTr="00592BA7">
        <w:trPr>
          <w:tblHeader/>
        </w:trPr>
        <w:tc>
          <w:tcPr>
            <w:tcW w:w="190" w:type="pct"/>
            <w:tcMar>
              <w:left w:w="28" w:type="dxa"/>
              <w:right w:w="28"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п/п</w:t>
            </w:r>
          </w:p>
        </w:tc>
        <w:tc>
          <w:tcPr>
            <w:tcW w:w="802" w:type="pct"/>
            <w:tcMar>
              <w:left w:w="28" w:type="dxa"/>
              <w:right w:w="28"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адрес котельной</w:t>
            </w:r>
          </w:p>
        </w:tc>
        <w:tc>
          <w:tcPr>
            <w:tcW w:w="336" w:type="pct"/>
            <w:tcMar>
              <w:left w:w="28" w:type="dxa"/>
              <w:right w:w="28"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Тип котла</w:t>
            </w:r>
          </w:p>
        </w:tc>
        <w:tc>
          <w:tcPr>
            <w:tcW w:w="367" w:type="pct"/>
            <w:tcMar>
              <w:left w:w="28" w:type="dxa"/>
              <w:right w:w="28"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Кол-во котлов</w:t>
            </w:r>
          </w:p>
        </w:tc>
        <w:tc>
          <w:tcPr>
            <w:tcW w:w="536" w:type="pct"/>
            <w:tcMar>
              <w:left w:w="28" w:type="dxa"/>
              <w:right w:w="28"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Год установки котла</w:t>
            </w:r>
          </w:p>
        </w:tc>
        <w:tc>
          <w:tcPr>
            <w:tcW w:w="557" w:type="pct"/>
            <w:tcMar>
              <w:left w:w="28" w:type="dxa"/>
              <w:right w:w="28"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Мощность котла, Гкал/ч</w:t>
            </w:r>
          </w:p>
        </w:tc>
        <w:tc>
          <w:tcPr>
            <w:tcW w:w="570" w:type="pct"/>
            <w:tcMar>
              <w:left w:w="28" w:type="dxa"/>
              <w:right w:w="28"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Мощность котельной, Гкал/ч</w:t>
            </w:r>
          </w:p>
        </w:tc>
        <w:tc>
          <w:tcPr>
            <w:tcW w:w="537" w:type="pct"/>
            <w:tcMar>
              <w:left w:w="28" w:type="dxa"/>
              <w:right w:w="28"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Удельный расход топлива по котлам, кг у.т../ Гкал</w:t>
            </w:r>
          </w:p>
        </w:tc>
        <w:tc>
          <w:tcPr>
            <w:tcW w:w="396" w:type="pct"/>
            <w:tcMar>
              <w:left w:w="28" w:type="dxa"/>
              <w:right w:w="28"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КПД котлов, %</w:t>
            </w:r>
          </w:p>
        </w:tc>
        <w:tc>
          <w:tcPr>
            <w:tcW w:w="710" w:type="pct"/>
            <w:tcMar>
              <w:left w:w="28" w:type="dxa"/>
              <w:right w:w="28"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Дата обследования котлов</w:t>
            </w:r>
          </w:p>
        </w:tc>
      </w:tr>
      <w:tr w:rsidR="00171D1D" w:rsidRPr="00592BA7" w:rsidTr="00592BA7">
        <w:trPr>
          <w:tblHeader/>
        </w:trPr>
        <w:tc>
          <w:tcPr>
            <w:tcW w:w="5000" w:type="pct"/>
            <w:gridSpan w:val="10"/>
            <w:tcMar>
              <w:left w:w="28" w:type="dxa"/>
              <w:right w:w="28"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Основное топливо – природный газ</w:t>
            </w:r>
          </w:p>
        </w:tc>
      </w:tr>
      <w:tr w:rsidR="00171D1D" w:rsidRPr="00592BA7" w:rsidTr="00592BA7">
        <w:tc>
          <w:tcPr>
            <w:tcW w:w="190" w:type="pct"/>
            <w:shd w:val="clear" w:color="auto" w:fill="auto"/>
            <w:tcMar>
              <w:left w:w="28" w:type="dxa"/>
              <w:right w:w="28"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w:t>
            </w:r>
          </w:p>
        </w:tc>
        <w:tc>
          <w:tcPr>
            <w:tcW w:w="802" w:type="pct"/>
            <w:shd w:val="clear" w:color="auto" w:fill="auto"/>
            <w:tcMar>
              <w:left w:w="28" w:type="dxa"/>
              <w:right w:w="28"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Котельная с. Юманай</w:t>
            </w:r>
          </w:p>
        </w:tc>
        <w:tc>
          <w:tcPr>
            <w:tcW w:w="336" w:type="pct"/>
            <w:shd w:val="clear" w:color="auto" w:fill="auto"/>
            <w:tcMar>
              <w:left w:w="28" w:type="dxa"/>
              <w:right w:w="28"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BIASI RCA-400</w:t>
            </w:r>
          </w:p>
        </w:tc>
        <w:tc>
          <w:tcPr>
            <w:tcW w:w="367" w:type="pct"/>
            <w:shd w:val="clear" w:color="auto" w:fill="auto"/>
            <w:tcMar>
              <w:left w:w="28" w:type="dxa"/>
              <w:right w:w="28"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w:t>
            </w:r>
          </w:p>
        </w:tc>
        <w:tc>
          <w:tcPr>
            <w:tcW w:w="536" w:type="pct"/>
            <w:shd w:val="clear" w:color="auto" w:fill="auto"/>
            <w:tcMar>
              <w:left w:w="28" w:type="dxa"/>
              <w:right w:w="28"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2007</w:t>
            </w:r>
          </w:p>
        </w:tc>
        <w:tc>
          <w:tcPr>
            <w:tcW w:w="557" w:type="pct"/>
            <w:shd w:val="clear" w:color="auto" w:fill="auto"/>
            <w:tcMar>
              <w:left w:w="28" w:type="dxa"/>
              <w:right w:w="28"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0,344</w:t>
            </w:r>
          </w:p>
        </w:tc>
        <w:tc>
          <w:tcPr>
            <w:tcW w:w="570" w:type="pct"/>
            <w:shd w:val="clear" w:color="auto" w:fill="auto"/>
            <w:tcMar>
              <w:left w:w="28" w:type="dxa"/>
              <w:right w:w="28"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1,032</w:t>
            </w:r>
          </w:p>
        </w:tc>
        <w:tc>
          <w:tcPr>
            <w:tcW w:w="537" w:type="pct"/>
            <w:shd w:val="clear" w:color="auto" w:fill="auto"/>
            <w:tcMar>
              <w:left w:w="28" w:type="dxa"/>
              <w:right w:w="28"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150,96</w:t>
            </w:r>
          </w:p>
        </w:tc>
        <w:tc>
          <w:tcPr>
            <w:tcW w:w="396" w:type="pct"/>
            <w:shd w:val="clear" w:color="auto" w:fill="auto"/>
            <w:tcMar>
              <w:left w:w="28" w:type="dxa"/>
              <w:right w:w="28"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85</w:t>
            </w:r>
          </w:p>
        </w:tc>
        <w:tc>
          <w:tcPr>
            <w:tcW w:w="710" w:type="pct"/>
            <w:shd w:val="clear" w:color="auto" w:fill="auto"/>
            <w:tcMar>
              <w:left w:w="28" w:type="dxa"/>
              <w:right w:w="28"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Ежегодно</w:t>
            </w:r>
          </w:p>
        </w:tc>
      </w:tr>
      <w:tr w:rsidR="00171D1D" w:rsidRPr="00592BA7" w:rsidTr="00592BA7">
        <w:tc>
          <w:tcPr>
            <w:tcW w:w="190" w:type="pct"/>
            <w:shd w:val="clear" w:color="auto" w:fill="auto"/>
            <w:tcMar>
              <w:left w:w="28" w:type="dxa"/>
              <w:right w:w="28"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w:t>
            </w:r>
          </w:p>
        </w:tc>
        <w:tc>
          <w:tcPr>
            <w:tcW w:w="802" w:type="pct"/>
            <w:shd w:val="clear" w:color="auto" w:fill="auto"/>
            <w:tcMar>
              <w:left w:w="28" w:type="dxa"/>
              <w:right w:w="28"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Котельная с. Русские Алгаши </w:t>
            </w:r>
          </w:p>
        </w:tc>
        <w:tc>
          <w:tcPr>
            <w:tcW w:w="336" w:type="pct"/>
            <w:shd w:val="clear" w:color="auto" w:fill="auto"/>
            <w:tcMar>
              <w:left w:w="28" w:type="dxa"/>
              <w:right w:w="28"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BIASI RCA-300</w:t>
            </w:r>
          </w:p>
        </w:tc>
        <w:tc>
          <w:tcPr>
            <w:tcW w:w="367" w:type="pct"/>
            <w:shd w:val="clear" w:color="auto" w:fill="auto"/>
            <w:tcMar>
              <w:left w:w="28" w:type="dxa"/>
              <w:right w:w="28"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w:t>
            </w:r>
          </w:p>
        </w:tc>
        <w:tc>
          <w:tcPr>
            <w:tcW w:w="536" w:type="pct"/>
            <w:shd w:val="clear" w:color="auto" w:fill="auto"/>
            <w:tcMar>
              <w:left w:w="28" w:type="dxa"/>
              <w:right w:w="28"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2009</w:t>
            </w:r>
          </w:p>
        </w:tc>
        <w:tc>
          <w:tcPr>
            <w:tcW w:w="557" w:type="pct"/>
            <w:shd w:val="clear" w:color="auto" w:fill="auto"/>
            <w:tcMar>
              <w:left w:w="28" w:type="dxa"/>
              <w:right w:w="28"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0,258</w:t>
            </w:r>
          </w:p>
        </w:tc>
        <w:tc>
          <w:tcPr>
            <w:tcW w:w="570" w:type="pct"/>
            <w:shd w:val="clear" w:color="auto" w:fill="auto"/>
            <w:tcMar>
              <w:left w:w="28" w:type="dxa"/>
              <w:right w:w="28"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0,516</w:t>
            </w:r>
          </w:p>
        </w:tc>
        <w:tc>
          <w:tcPr>
            <w:tcW w:w="537" w:type="pct"/>
            <w:shd w:val="clear" w:color="auto" w:fill="auto"/>
            <w:tcMar>
              <w:left w:w="28" w:type="dxa"/>
              <w:right w:w="28"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150,22</w:t>
            </w:r>
          </w:p>
        </w:tc>
        <w:tc>
          <w:tcPr>
            <w:tcW w:w="396" w:type="pct"/>
            <w:shd w:val="clear" w:color="auto" w:fill="auto"/>
            <w:tcMar>
              <w:left w:w="28" w:type="dxa"/>
              <w:right w:w="28"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85</w:t>
            </w:r>
          </w:p>
        </w:tc>
        <w:tc>
          <w:tcPr>
            <w:tcW w:w="710" w:type="pct"/>
            <w:shd w:val="clear" w:color="auto" w:fill="auto"/>
            <w:tcMar>
              <w:left w:w="28" w:type="dxa"/>
              <w:right w:w="28"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Ежегодно</w:t>
            </w:r>
          </w:p>
        </w:tc>
      </w:tr>
    </w:tbl>
    <w:p w:rsidR="00171D1D" w:rsidRPr="00592BA7" w:rsidRDefault="00171D1D" w:rsidP="00592BA7">
      <w:pPr>
        <w:jc w:val="both"/>
        <w:rPr>
          <w:rFonts w:ascii="Times New Roman" w:hAnsi="Times New Roman" w:cs="Times New Roman"/>
          <w:sz w:val="20"/>
          <w:szCs w:val="20"/>
        </w:rPr>
      </w:pP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Котельная с. Юманай</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Источником централизованного теплоснабжения в с. Юманай являются котельная установленной мощностью 1,032 Гкал/ч. Котельная работает на газообразном топливе. Основное топливо природный газ. Расчетная тепловая нагрузка котельной с. Юманай   0,6 Гкал/ч.</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Протяженность существующих сетей теплоснабжения в двухтрубном исполнении в с. Юманай – 1,252 км.</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Отпуск тепловой энергии в виде горячей воды осуществляет МУП «Юманайское ЖКХ» в отопительный период по температурному графику 95/70 0С.</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 целью подготовки к эксплуатации в осенне-зимний период ежегодно проводится ремонты котлов.</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Котельная с. Русские Алгаши </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Источником централизованного теплоснабжения в с. Русские Алгаши являются котельная установленной мощностью 0,516 Гкал/ч. Котельная работает на газообразном топливе. Основное топливо природный газ. Расчетная тепловая нагрузка котельной с. Русские Алгаши 0,469 Гкал/ч.</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Протяженность существующих сетей теплоснабжения в двухтрубном исполнении в с. Русские Алгаши – 1,2365 км.</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Отпуск тепловой энергии в виде горячей воды осуществляет МУП «Юманайское ЖКХ» в отопительный период по температурному графику 95/70 0С.</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 целью подготовки к эксплуатации в осенне-зимний период ежегодно проводится ремонты котлов.</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Вспомогательное оборудование источников тепловой энергии не представлено.</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Ограничения использования мощностей</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Ограничения установленной тепловой мощности на источниках теплоснабжения отсутствуют. Предписания надзорных органов по запрещению дальнейшей эксплуатации оборудования котельных по состоянию на 2024 год не выдавались. </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Для основного оборудования, установленного на источниках теплоснабжения, производится режимно-наладочные испытания и в соответствии с ними составляются режимные карты. На основе данных, предоставленных теплоснабжающей организацией, произведен анализ ограничения тепловой мощности и параметров располагаемой мощности, данные сведены в таблицу 3.2.2.1.2.</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Таблица 3.2.2.1.2</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Установленная тепловая мощность, ограничения тепловой мощности, располагаемая тепловая мощность котельных, Гкал/ч</w:t>
      </w:r>
    </w:p>
    <w:tbl>
      <w:tblPr>
        <w:tblW w:w="96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37"/>
        <w:gridCol w:w="1985"/>
        <w:gridCol w:w="1700"/>
        <w:gridCol w:w="1418"/>
        <w:gridCol w:w="1560"/>
        <w:gridCol w:w="1417"/>
        <w:gridCol w:w="1133"/>
      </w:tblGrid>
      <w:tr w:rsidR="00171D1D" w:rsidRPr="00592BA7" w:rsidTr="00592BA7">
        <w:trPr>
          <w:tblHeader/>
        </w:trPr>
        <w:tc>
          <w:tcPr>
            <w:tcW w:w="437" w:type="dxa"/>
            <w:tcBorders>
              <w:top w:val="single" w:sz="4" w:space="0" w:color="auto"/>
              <w:bottom w:val="single" w:sz="4" w:space="0" w:color="auto"/>
              <w:right w:val="single" w:sz="4" w:space="0" w:color="auto"/>
            </w:tcBorders>
            <w:tcMar>
              <w:left w:w="11" w:type="dxa"/>
              <w:right w:w="11"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п/п</w:t>
            </w:r>
          </w:p>
        </w:tc>
        <w:tc>
          <w:tcPr>
            <w:tcW w:w="1985"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Адрес или наименование котельной</w:t>
            </w:r>
          </w:p>
        </w:tc>
        <w:tc>
          <w:tcPr>
            <w:tcW w:w="1700"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Тепловая мощность котлов установленная</w:t>
            </w:r>
          </w:p>
        </w:tc>
        <w:tc>
          <w:tcPr>
            <w:tcW w:w="1418"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Ограничения установленной тепловой мощности</w:t>
            </w:r>
          </w:p>
        </w:tc>
        <w:tc>
          <w:tcPr>
            <w:tcW w:w="1560"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Тепловая мощность котлов располагаемая</w:t>
            </w:r>
          </w:p>
        </w:tc>
        <w:tc>
          <w:tcPr>
            <w:tcW w:w="1417"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Затраты тепловой мощности на собственные нужды, %</w:t>
            </w:r>
          </w:p>
        </w:tc>
        <w:tc>
          <w:tcPr>
            <w:tcW w:w="1133" w:type="dxa"/>
            <w:tcBorders>
              <w:top w:val="single" w:sz="4" w:space="0" w:color="auto"/>
              <w:left w:val="single" w:sz="4" w:space="0" w:color="auto"/>
              <w:bottom w:val="single" w:sz="4" w:space="0" w:color="auto"/>
            </w:tcBorders>
            <w:tcMar>
              <w:left w:w="11" w:type="dxa"/>
              <w:right w:w="11"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Тепловая мощность котельной нетто</w:t>
            </w:r>
          </w:p>
        </w:tc>
      </w:tr>
      <w:tr w:rsidR="00171D1D" w:rsidRPr="00592BA7" w:rsidTr="00592BA7">
        <w:trPr>
          <w:trHeight w:val="371"/>
        </w:trPr>
        <w:tc>
          <w:tcPr>
            <w:tcW w:w="437" w:type="dxa"/>
            <w:tcBorders>
              <w:top w:val="single" w:sz="4" w:space="0" w:color="auto"/>
              <w:bottom w:val="single" w:sz="4" w:space="0" w:color="auto"/>
              <w:right w:val="single" w:sz="4" w:space="0" w:color="auto"/>
            </w:tcBorders>
            <w:tcMar>
              <w:left w:w="11" w:type="dxa"/>
              <w:right w:w="11"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w:t>
            </w:r>
          </w:p>
        </w:tc>
        <w:tc>
          <w:tcPr>
            <w:tcW w:w="1985"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Котельная с. Юманай</w:t>
            </w:r>
          </w:p>
        </w:tc>
        <w:tc>
          <w:tcPr>
            <w:tcW w:w="1700"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1,032</w:t>
            </w:r>
          </w:p>
        </w:tc>
        <w:tc>
          <w:tcPr>
            <w:tcW w:w="1418"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0,000</w:t>
            </w:r>
          </w:p>
        </w:tc>
        <w:tc>
          <w:tcPr>
            <w:tcW w:w="1560"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1,032</w:t>
            </w:r>
          </w:p>
        </w:tc>
        <w:tc>
          <w:tcPr>
            <w:tcW w:w="1417"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w:t>
            </w:r>
          </w:p>
        </w:tc>
        <w:tc>
          <w:tcPr>
            <w:tcW w:w="1133" w:type="dxa"/>
            <w:tcBorders>
              <w:top w:val="single" w:sz="4" w:space="0" w:color="auto"/>
              <w:left w:val="single" w:sz="4" w:space="0" w:color="auto"/>
              <w:bottom w:val="single" w:sz="4" w:space="0" w:color="auto"/>
            </w:tcBorders>
            <w:tcMar>
              <w:left w:w="11" w:type="dxa"/>
              <w:right w:w="11" w:type="dxa"/>
            </w:tcMar>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rPr>
              <w:t>0,99</w:t>
            </w:r>
          </w:p>
        </w:tc>
      </w:tr>
      <w:tr w:rsidR="00171D1D" w:rsidRPr="00592BA7" w:rsidTr="00592BA7">
        <w:trPr>
          <w:trHeight w:val="371"/>
        </w:trPr>
        <w:tc>
          <w:tcPr>
            <w:tcW w:w="437" w:type="dxa"/>
            <w:tcBorders>
              <w:top w:val="single" w:sz="4" w:space="0" w:color="auto"/>
              <w:bottom w:val="single" w:sz="4" w:space="0" w:color="auto"/>
              <w:right w:val="single" w:sz="4" w:space="0" w:color="auto"/>
            </w:tcBorders>
            <w:tcMar>
              <w:left w:w="11" w:type="dxa"/>
              <w:right w:w="11"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w:t>
            </w:r>
          </w:p>
        </w:tc>
        <w:tc>
          <w:tcPr>
            <w:tcW w:w="1985"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Котельная с. Русские Алгаши </w:t>
            </w:r>
          </w:p>
        </w:tc>
        <w:tc>
          <w:tcPr>
            <w:tcW w:w="1700"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0,516</w:t>
            </w:r>
          </w:p>
        </w:tc>
        <w:tc>
          <w:tcPr>
            <w:tcW w:w="1418"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0,000</w:t>
            </w:r>
          </w:p>
        </w:tc>
        <w:tc>
          <w:tcPr>
            <w:tcW w:w="1560"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0,516</w:t>
            </w:r>
          </w:p>
        </w:tc>
        <w:tc>
          <w:tcPr>
            <w:tcW w:w="1417"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w:t>
            </w:r>
          </w:p>
        </w:tc>
        <w:tc>
          <w:tcPr>
            <w:tcW w:w="1133" w:type="dxa"/>
            <w:tcBorders>
              <w:top w:val="single" w:sz="4" w:space="0" w:color="auto"/>
              <w:left w:val="single" w:sz="4" w:space="0" w:color="auto"/>
              <w:bottom w:val="single" w:sz="4" w:space="0" w:color="auto"/>
            </w:tcBorders>
            <w:tcMar>
              <w:left w:w="11" w:type="dxa"/>
              <w:right w:w="11"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0,50</w:t>
            </w:r>
          </w:p>
        </w:tc>
      </w:tr>
      <w:tr w:rsidR="00171D1D" w:rsidRPr="00592BA7" w:rsidTr="00592BA7">
        <w:trPr>
          <w:trHeight w:val="77"/>
        </w:trPr>
        <w:tc>
          <w:tcPr>
            <w:tcW w:w="2422" w:type="dxa"/>
            <w:gridSpan w:val="2"/>
            <w:tcBorders>
              <w:top w:val="single" w:sz="4" w:space="0" w:color="auto"/>
              <w:bottom w:val="single" w:sz="4" w:space="0" w:color="auto"/>
              <w:right w:val="single" w:sz="4" w:space="0" w:color="auto"/>
            </w:tcBorders>
            <w:tcMar>
              <w:left w:w="11" w:type="dxa"/>
              <w:right w:w="11"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ИТОГО</w:t>
            </w:r>
          </w:p>
        </w:tc>
        <w:tc>
          <w:tcPr>
            <w:tcW w:w="1700"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rPr>
              <w:t>1,548</w:t>
            </w:r>
          </w:p>
        </w:tc>
        <w:tc>
          <w:tcPr>
            <w:tcW w:w="1418"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c>
          <w:tcPr>
            <w:tcW w:w="1560"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1,548</w:t>
            </w:r>
          </w:p>
        </w:tc>
        <w:tc>
          <w:tcPr>
            <w:tcW w:w="1417"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8</w:t>
            </w:r>
          </w:p>
        </w:tc>
        <w:tc>
          <w:tcPr>
            <w:tcW w:w="1133" w:type="dxa"/>
            <w:tcBorders>
              <w:top w:val="single" w:sz="4" w:space="0" w:color="auto"/>
              <w:left w:val="single" w:sz="4" w:space="0" w:color="auto"/>
              <w:bottom w:val="single" w:sz="4" w:space="0" w:color="auto"/>
            </w:tcBorders>
            <w:tcMar>
              <w:left w:w="11" w:type="dxa"/>
              <w:right w:w="11"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1,49</w:t>
            </w:r>
          </w:p>
        </w:tc>
      </w:tr>
    </w:tbl>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Качество эксплуатации, наладки и ремонтов</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Качество эксплуатации, наладки и ремонтов источника теплоснабжения удовлетворяет требованиям Приказа Минэнерго РФ от 24 марта 2003 года №115 «Об утверждении Правил технической эксплуатации тепловых энергоустановок».</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Анализ аварийных отключений потребителей</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В соответствии с методическими рекомендациями МДК 4-01.2001 «Методические рекомендации по техническому расследованию и учету технологических нарушений в системах коммунального энергоснабжения и работе энергетических организаций жилищно-коммунального комплекса», авария – разрушение сооружений и(или) технических устройств, применяемых на опасном производственном объекте, неконтролируемые взрыв и(или) выброс опасных веществ.</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По предоставленным данным аварийные отключения потребителей за последние 5 лет отсутствовали.</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Проблемы надежного и эффективного снабжения топливом действующих систем теплоснабжения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Основной вид топлива – природный газ. На 2024 год проблемы снабжения топлива действующих систем теплоснабжения отсутствуют.</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Качество эксплуатации, наладки и ремонтов</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Качество эксплуатации, наладки и ремонтов источника теплоснабжения удовлетворяет требованиям Приказа Минэнерго РФ от 24 марта 2003года №115 «Об утверждении Правил технической эксплуатации тепловых энергоустановок».</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Основные проблемы функционирования котельных</w:t>
      </w:r>
    </w:p>
    <w:p w:rsidR="00171D1D" w:rsidRPr="00592BA7" w:rsidRDefault="00171D1D" w:rsidP="00592BA7">
      <w:pPr>
        <w:jc w:val="both"/>
        <w:rPr>
          <w:rFonts w:ascii="Times New Roman" w:hAnsi="Times New Roman" w:cs="Times New Roman"/>
          <w:sz w:val="20"/>
          <w:szCs w:val="20"/>
          <w:lang w:val="x-none"/>
        </w:rPr>
      </w:pPr>
      <w:r w:rsidRPr="00592BA7">
        <w:rPr>
          <w:rFonts w:ascii="Times New Roman" w:hAnsi="Times New Roman" w:cs="Times New Roman"/>
          <w:sz w:val="20"/>
          <w:szCs w:val="20"/>
          <w:lang w:val="x-none"/>
        </w:rPr>
        <w:lastRenderedPageBreak/>
        <w:t xml:space="preserve">Основные проблемы организации качественного теплоснабжения сводятся к перечню финансовых и технических причин приводящих к снижению качества теплоснабжения: </w:t>
      </w:r>
    </w:p>
    <w:p w:rsidR="00171D1D" w:rsidRPr="00592BA7" w:rsidRDefault="00171D1D" w:rsidP="00592BA7">
      <w:pPr>
        <w:jc w:val="both"/>
        <w:rPr>
          <w:rFonts w:ascii="Times New Roman" w:hAnsi="Times New Roman" w:cs="Times New Roman"/>
          <w:sz w:val="20"/>
          <w:szCs w:val="20"/>
          <w:lang w:val="x-none"/>
        </w:rPr>
      </w:pPr>
      <w:r w:rsidRPr="00592BA7">
        <w:rPr>
          <w:rFonts w:ascii="Times New Roman" w:hAnsi="Times New Roman" w:cs="Times New Roman"/>
          <w:sz w:val="20"/>
          <w:szCs w:val="20"/>
          <w:lang w:val="x-none"/>
        </w:rPr>
        <w:t>1. Низкий остаточный ресурс, изношенность находящегося в эксплуатации оборудования котельных;</w:t>
      </w:r>
    </w:p>
    <w:p w:rsidR="00171D1D" w:rsidRPr="00592BA7" w:rsidRDefault="00171D1D" w:rsidP="00592BA7">
      <w:pPr>
        <w:jc w:val="both"/>
        <w:rPr>
          <w:rFonts w:ascii="Times New Roman" w:hAnsi="Times New Roman" w:cs="Times New Roman"/>
          <w:sz w:val="20"/>
          <w:szCs w:val="20"/>
          <w:lang w:val="x-none"/>
        </w:rPr>
      </w:pPr>
      <w:r w:rsidRPr="00592BA7">
        <w:rPr>
          <w:rFonts w:ascii="Times New Roman" w:hAnsi="Times New Roman" w:cs="Times New Roman"/>
          <w:sz w:val="20"/>
          <w:szCs w:val="20"/>
          <w:lang w:val="x-none"/>
        </w:rPr>
        <w:t>2. Отсутствие химводоподготовки сетевой воды на котельных;</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 Отсутствие приборов учета отпуска и потребления тепловой энергии;</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 Наличие несанкционированного отбора сетевой воды потребителями в зонах действия котельной.</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3.2.2.2. Анализ эффективности и надежности имеющихся сетей, имеющиеся проблемы и направления их решения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Передача тепловой энергии от котельных до потребителей осуществляется посредством магистральных и распределительных тепловых сетей. Протяжённость тепловых сетей составляет 2,4885 км. Система теплоснабжения двухтрубная. </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Тип прокладки сетей – наземный.</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В качестве изоляционного материала используется ППУ, мин. вата, стеклоткань, оцинкованный лист.</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Для восприятия температурных удлинений теплопровода и разгрузки труб от температурных напряжений и деформаций используются естественные изменения направления трассы (самокомпенсация) и П-образные компенсаторы.</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Характеристика тепловых сетей источников теплоснабжения Шумерлинского муниципального округа представлена в таблице 3.2.2.2.1</w:t>
      </w:r>
    </w:p>
    <w:p w:rsidR="00171D1D" w:rsidRPr="00592BA7" w:rsidRDefault="00171D1D" w:rsidP="00592BA7">
      <w:pPr>
        <w:jc w:val="both"/>
        <w:rPr>
          <w:rFonts w:ascii="Times New Roman" w:hAnsi="Times New Roman" w:cs="Times New Roman"/>
          <w:sz w:val="20"/>
          <w:szCs w:val="20"/>
        </w:rPr>
      </w:pP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br w:type="page"/>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Таблица 3.2.2.2.1</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Характеристика тепловых сетей</w:t>
      </w:r>
    </w:p>
    <w:tbl>
      <w:tblPr>
        <w:tblW w:w="522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70"/>
        <w:gridCol w:w="1147"/>
        <w:gridCol w:w="1319"/>
        <w:gridCol w:w="1906"/>
        <w:gridCol w:w="1056"/>
        <w:gridCol w:w="1301"/>
        <w:gridCol w:w="1229"/>
        <w:gridCol w:w="764"/>
      </w:tblGrid>
      <w:tr w:rsidR="00171D1D" w:rsidRPr="00592BA7" w:rsidTr="00592BA7">
        <w:trPr>
          <w:trHeight w:val="20"/>
          <w:tblHeader/>
          <w:jc w:val="center"/>
        </w:trPr>
        <w:tc>
          <w:tcPr>
            <w:tcW w:w="763" w:type="pct"/>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Трубопровод сети</w:t>
            </w:r>
          </w:p>
        </w:tc>
        <w:tc>
          <w:tcPr>
            <w:tcW w:w="557" w:type="pct"/>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Наружный диаметр трубопровода, мм</w:t>
            </w:r>
          </w:p>
        </w:tc>
        <w:tc>
          <w:tcPr>
            <w:tcW w:w="641" w:type="pct"/>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Протяженность (в двухтрубном исчислении), м</w:t>
            </w:r>
          </w:p>
        </w:tc>
        <w:tc>
          <w:tcPr>
            <w:tcW w:w="926" w:type="pct"/>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Назначение тепловой сети (магистральные, распределительные - отопления, ГВС)</w:t>
            </w:r>
          </w:p>
        </w:tc>
        <w:tc>
          <w:tcPr>
            <w:tcW w:w="513" w:type="pct"/>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Тип прокладки</w:t>
            </w:r>
          </w:p>
        </w:tc>
        <w:tc>
          <w:tcPr>
            <w:tcW w:w="632" w:type="pct"/>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Год ввода в эксплуатацию (перекладки)</w:t>
            </w:r>
          </w:p>
        </w:tc>
        <w:tc>
          <w:tcPr>
            <w:tcW w:w="597"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Тип изоляции</w:t>
            </w:r>
          </w:p>
        </w:tc>
        <w:tc>
          <w:tcPr>
            <w:tcW w:w="371"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Физ. износ, %</w:t>
            </w:r>
          </w:p>
        </w:tc>
      </w:tr>
      <w:tr w:rsidR="00171D1D" w:rsidRPr="00592BA7" w:rsidTr="00592BA7">
        <w:trPr>
          <w:trHeight w:val="227"/>
          <w:jc w:val="center"/>
        </w:trPr>
        <w:tc>
          <w:tcPr>
            <w:tcW w:w="5000" w:type="pct"/>
            <w:gridSpan w:val="8"/>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Котельная с. Юманай</w:t>
            </w:r>
          </w:p>
        </w:tc>
      </w:tr>
      <w:tr w:rsidR="00171D1D" w:rsidRPr="00592BA7" w:rsidTr="00592BA7">
        <w:trPr>
          <w:trHeight w:val="227"/>
          <w:jc w:val="center"/>
        </w:trPr>
        <w:tc>
          <w:tcPr>
            <w:tcW w:w="763" w:type="pct"/>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Трубопровод прямой подачи горячей воды</w:t>
            </w:r>
          </w:p>
        </w:tc>
        <w:tc>
          <w:tcPr>
            <w:tcW w:w="557" w:type="pct"/>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76/57/45/32</w:t>
            </w:r>
          </w:p>
        </w:tc>
        <w:tc>
          <w:tcPr>
            <w:tcW w:w="641" w:type="pct"/>
            <w:noWrap/>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1252</w:t>
            </w:r>
          </w:p>
        </w:tc>
        <w:tc>
          <w:tcPr>
            <w:tcW w:w="926" w:type="pct"/>
            <w:noWrap/>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распредели-тельные</w:t>
            </w:r>
          </w:p>
        </w:tc>
        <w:tc>
          <w:tcPr>
            <w:tcW w:w="513" w:type="pct"/>
            <w:noWrap/>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наземный</w:t>
            </w:r>
          </w:p>
        </w:tc>
        <w:tc>
          <w:tcPr>
            <w:tcW w:w="632" w:type="pct"/>
            <w:noWrap/>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2007</w:t>
            </w:r>
          </w:p>
        </w:tc>
        <w:tc>
          <w:tcPr>
            <w:tcW w:w="597"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ППУ, оцинкованный лист</w:t>
            </w:r>
          </w:p>
        </w:tc>
        <w:tc>
          <w:tcPr>
            <w:tcW w:w="371"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60</w:t>
            </w:r>
          </w:p>
        </w:tc>
      </w:tr>
      <w:tr w:rsidR="00171D1D" w:rsidRPr="00592BA7" w:rsidTr="00592BA7">
        <w:trPr>
          <w:trHeight w:val="227"/>
          <w:jc w:val="center"/>
        </w:trPr>
        <w:tc>
          <w:tcPr>
            <w:tcW w:w="763"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ВСЕГО</w:t>
            </w:r>
          </w:p>
        </w:tc>
        <w:tc>
          <w:tcPr>
            <w:tcW w:w="557" w:type="pct"/>
            <w:vAlign w:val="center"/>
          </w:tcPr>
          <w:p w:rsidR="00171D1D" w:rsidRPr="00592BA7" w:rsidRDefault="00171D1D" w:rsidP="00592BA7">
            <w:pPr>
              <w:jc w:val="both"/>
              <w:rPr>
                <w:rFonts w:ascii="Times New Roman" w:hAnsi="Times New Roman" w:cs="Times New Roman"/>
                <w:sz w:val="20"/>
                <w:szCs w:val="20"/>
              </w:rPr>
            </w:pPr>
          </w:p>
        </w:tc>
        <w:tc>
          <w:tcPr>
            <w:tcW w:w="641" w:type="pct"/>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1252</w:t>
            </w:r>
          </w:p>
        </w:tc>
        <w:tc>
          <w:tcPr>
            <w:tcW w:w="926" w:type="pct"/>
            <w:noWrap/>
            <w:vAlign w:val="center"/>
          </w:tcPr>
          <w:p w:rsidR="00171D1D" w:rsidRPr="00592BA7" w:rsidRDefault="00171D1D" w:rsidP="00592BA7">
            <w:pPr>
              <w:jc w:val="both"/>
              <w:rPr>
                <w:rFonts w:ascii="Times New Roman" w:hAnsi="Times New Roman" w:cs="Times New Roman"/>
                <w:sz w:val="20"/>
                <w:szCs w:val="20"/>
              </w:rPr>
            </w:pPr>
          </w:p>
        </w:tc>
        <w:tc>
          <w:tcPr>
            <w:tcW w:w="513" w:type="pct"/>
            <w:noWrap/>
            <w:vAlign w:val="center"/>
          </w:tcPr>
          <w:p w:rsidR="00171D1D" w:rsidRPr="00592BA7" w:rsidRDefault="00171D1D" w:rsidP="00592BA7">
            <w:pPr>
              <w:jc w:val="both"/>
              <w:rPr>
                <w:rFonts w:ascii="Times New Roman" w:hAnsi="Times New Roman" w:cs="Times New Roman"/>
                <w:sz w:val="20"/>
                <w:szCs w:val="20"/>
              </w:rPr>
            </w:pPr>
          </w:p>
        </w:tc>
        <w:tc>
          <w:tcPr>
            <w:tcW w:w="632" w:type="pct"/>
            <w:noWrap/>
            <w:vAlign w:val="center"/>
          </w:tcPr>
          <w:p w:rsidR="00171D1D" w:rsidRPr="00592BA7" w:rsidRDefault="00171D1D" w:rsidP="00592BA7">
            <w:pPr>
              <w:jc w:val="both"/>
              <w:rPr>
                <w:rFonts w:ascii="Times New Roman" w:hAnsi="Times New Roman" w:cs="Times New Roman"/>
                <w:sz w:val="20"/>
                <w:szCs w:val="20"/>
              </w:rPr>
            </w:pPr>
          </w:p>
        </w:tc>
        <w:tc>
          <w:tcPr>
            <w:tcW w:w="597" w:type="pct"/>
            <w:vAlign w:val="center"/>
          </w:tcPr>
          <w:p w:rsidR="00171D1D" w:rsidRPr="00592BA7" w:rsidRDefault="00171D1D" w:rsidP="00592BA7">
            <w:pPr>
              <w:jc w:val="both"/>
              <w:rPr>
                <w:rFonts w:ascii="Times New Roman" w:hAnsi="Times New Roman" w:cs="Times New Roman"/>
                <w:sz w:val="20"/>
                <w:szCs w:val="20"/>
              </w:rPr>
            </w:pPr>
          </w:p>
        </w:tc>
        <w:tc>
          <w:tcPr>
            <w:tcW w:w="371" w:type="pct"/>
            <w:vAlign w:val="center"/>
          </w:tcPr>
          <w:p w:rsidR="00171D1D" w:rsidRPr="00592BA7" w:rsidRDefault="00171D1D" w:rsidP="00592BA7">
            <w:pPr>
              <w:jc w:val="both"/>
              <w:rPr>
                <w:rFonts w:ascii="Times New Roman" w:hAnsi="Times New Roman" w:cs="Times New Roman"/>
                <w:sz w:val="20"/>
                <w:szCs w:val="20"/>
              </w:rPr>
            </w:pPr>
          </w:p>
        </w:tc>
      </w:tr>
      <w:tr w:rsidR="00171D1D" w:rsidRPr="00592BA7" w:rsidTr="00592BA7">
        <w:trPr>
          <w:trHeight w:val="227"/>
          <w:jc w:val="center"/>
        </w:trPr>
        <w:tc>
          <w:tcPr>
            <w:tcW w:w="5000" w:type="pct"/>
            <w:gridSpan w:val="8"/>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Котельная с. Русские Алгаши </w:t>
            </w:r>
          </w:p>
        </w:tc>
      </w:tr>
      <w:tr w:rsidR="00171D1D" w:rsidRPr="00592BA7" w:rsidTr="00592BA7">
        <w:trPr>
          <w:trHeight w:val="227"/>
          <w:jc w:val="center"/>
        </w:trPr>
        <w:tc>
          <w:tcPr>
            <w:tcW w:w="763"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Трубопровод прямой подачи горячей воды</w:t>
            </w:r>
          </w:p>
        </w:tc>
        <w:tc>
          <w:tcPr>
            <w:tcW w:w="557"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57-159</w:t>
            </w:r>
          </w:p>
        </w:tc>
        <w:tc>
          <w:tcPr>
            <w:tcW w:w="641" w:type="pct"/>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1236,5</w:t>
            </w:r>
          </w:p>
        </w:tc>
        <w:tc>
          <w:tcPr>
            <w:tcW w:w="926" w:type="pct"/>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распредели-тельные</w:t>
            </w:r>
          </w:p>
        </w:tc>
        <w:tc>
          <w:tcPr>
            <w:tcW w:w="513" w:type="pct"/>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надземный</w:t>
            </w:r>
          </w:p>
        </w:tc>
        <w:tc>
          <w:tcPr>
            <w:tcW w:w="632" w:type="pct"/>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2009</w:t>
            </w:r>
          </w:p>
        </w:tc>
        <w:tc>
          <w:tcPr>
            <w:tcW w:w="597"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Мин. вата, стеклоткань, оцинкованный лист</w:t>
            </w:r>
          </w:p>
        </w:tc>
        <w:tc>
          <w:tcPr>
            <w:tcW w:w="371"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80</w:t>
            </w:r>
          </w:p>
        </w:tc>
      </w:tr>
      <w:tr w:rsidR="00171D1D" w:rsidRPr="00592BA7" w:rsidTr="00592BA7">
        <w:trPr>
          <w:trHeight w:val="227"/>
          <w:jc w:val="center"/>
        </w:trPr>
        <w:tc>
          <w:tcPr>
            <w:tcW w:w="763"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ВСЕГО</w:t>
            </w:r>
          </w:p>
        </w:tc>
        <w:tc>
          <w:tcPr>
            <w:tcW w:w="557"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c>
          <w:tcPr>
            <w:tcW w:w="641" w:type="pct"/>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1236,5</w:t>
            </w:r>
          </w:p>
        </w:tc>
        <w:tc>
          <w:tcPr>
            <w:tcW w:w="926" w:type="pct"/>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c>
          <w:tcPr>
            <w:tcW w:w="513" w:type="pct"/>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c>
          <w:tcPr>
            <w:tcW w:w="632" w:type="pct"/>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c>
          <w:tcPr>
            <w:tcW w:w="597"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c>
          <w:tcPr>
            <w:tcW w:w="371" w:type="pct"/>
            <w:vAlign w:val="center"/>
          </w:tcPr>
          <w:p w:rsidR="00171D1D" w:rsidRPr="00592BA7" w:rsidRDefault="00171D1D" w:rsidP="00592BA7">
            <w:pPr>
              <w:jc w:val="both"/>
              <w:rPr>
                <w:rFonts w:ascii="Times New Roman" w:hAnsi="Times New Roman" w:cs="Times New Roman"/>
                <w:sz w:val="20"/>
                <w:szCs w:val="20"/>
              </w:rPr>
            </w:pPr>
          </w:p>
        </w:tc>
      </w:tr>
    </w:tbl>
    <w:p w:rsidR="00171D1D" w:rsidRPr="00592BA7" w:rsidRDefault="00171D1D" w:rsidP="00592BA7">
      <w:pPr>
        <w:jc w:val="both"/>
        <w:rPr>
          <w:rFonts w:ascii="Times New Roman" w:hAnsi="Times New Roman" w:cs="Times New Roman"/>
          <w:sz w:val="20"/>
          <w:szCs w:val="20"/>
        </w:rPr>
      </w:pP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При выполнении капитальных, текущих и аварийных ремонтов подразделения и службы МУП «Юманайское ЖКХ» руководствуются: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действующим регламентом реализации ремонтных и инвестиционных программ МУП «Юманайское ЖКХ»;</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регламентом по контролю использования собственных ресурсов при проведении ремонтных работ в МУП «Юманайское ЖКХ»;</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 регламентом по планированию ремонтного фонда; </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 правилами устройства и безопасной эксплуатации трубопроводов пара и горячей воды; </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 правилами организации технического обслуживания и ремонта оборудования, зданий и сооружений электростанций и сетей СО 34. 04.181-2003; </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 рекомендациями действующих СП. </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Планирование летних ремонтов осуществляется с учетом результатов испытаний: ежегодных - на гидравлическую плотность, раз в пять лет - на расчетную температуру и гидравлические потери.</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Оборудование тепловых сетей Шумерлинского муниципального округа в том числе тепловые пункты и системы теплопотребления до проведения пуска после летних ремонтов подвергается гидравлическому испытанию на прочность и плотность, на максимальную температуру теплоносителя. Данные испытания проводятся непосредственно перед окончанием отопительного сезона при устойчивых суточных плюсовых температурах наружного воздуха.</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Организовано техническое обслуживание и ремонт тепловых сетей. Ответственность за организацию технического обслуживания и ремонта несет административно-технический персонал, за которым закреплены </w:t>
      </w:r>
      <w:r w:rsidRPr="00592BA7">
        <w:rPr>
          <w:rFonts w:ascii="Times New Roman" w:hAnsi="Times New Roman" w:cs="Times New Roman"/>
          <w:sz w:val="20"/>
          <w:szCs w:val="20"/>
        </w:rPr>
        <w:lastRenderedPageBreak/>
        <w:t>тепловые сети. Объем технического обслуживания и ремонта определяется необходимостью поддержания работоспособного состояния тепловых сетей.</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Планирование капитальных и текущих ремонтов производится на основании указаний заводов–изготовителей, указанных в паспортах на оборудование, и в соответствии с системой планово-предупредительного ремонта.</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Диагностика состояния тепловых сетей производится при гидравлических испытаниях тепловых сетей на прочность и плотность дважды в год по утвержденному графику. Состояние тепловой изоляции проводится визуальным контролем. В случае нарушения ее целостности, проводятся необходимые мероприятия по устранению недостатков. Также, в межотопительный период, производится ремонт или замена запорной арматуры и приборов контроля (манометры, термометры и т.п.).</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Состояние тепловой изоляции проводится визуальным контролем. В случае нарушения ее целостности, проводятся необходимые мероприятия по устранению недостатков.</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Статистика отказов тепловых сетей (аварий, инцидентов) за последние 5 лет</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Отказы тепловых сетей (аварий, инцидентов) за последние 5 лет не фиксировались.</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Статистика восстановлений (аварийно-восстановительных ремонтов) тепловых сетей и среднее время, затраченное на восстановление работоспособности тепловых сетей, за последние 5 лет</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Отказы тепловых сетей (аварий, инцидентов) за последние 5 лет не фиксировались.</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Качество диспетчеризации</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Постоянный контроль за работой и функционированием инженерных сетей системы жизнеобеспечения с. Русские Алгаши, с. Юманай осуществляет оперативно-дежурный персонал котельной. </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Служба выполняет свою основную функцию в полном объеме, выезды ремонтной бригады производятся своевременно, ремонты осуществляются в срок. Диспетчерские оборудованы телефонной связью и доступом в интернет, принимают сигналы об утечках и авариях на сетях от жильцов и обслуживающего персонала.</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Средств автоматизации и телемеханизации нет.</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Качество эксплуатации</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Периодичность и продолжительность всех видов ремонтных работ устанавливается нормативно-техническими документами на ремонт данного вида оборудования.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Система технического обслуживания и ремонта носит планово-предупредительный характер. На все виды оборудования составляются годовые (сезонные и месячные) планы (графики) ремонтов. Годовые планы ремонтов утверждает руководитель организации.</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Ремонт тепловых сетей производится в соответствии с утвержденным графиком (планом) на основе результатов анализа выявленных дефектов, повреждений, периодических осмотров, испытаний, диагностики и ежегодных испытаний на прочность и плотность. Объем технического обслуживания и ремонта определяется необходимостью поддержания исправного, работоспособного состояния и периодического восстановления тепловых сетей с учетом их фактического технического состояния.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Таблица 3.2.2.2.2</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План проведения регламентных работ и эксплуатационные нормы</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741"/>
        <w:gridCol w:w="3408"/>
        <w:gridCol w:w="2262"/>
        <w:gridCol w:w="2282"/>
      </w:tblGrid>
      <w:tr w:rsidR="00171D1D" w:rsidRPr="00592BA7" w:rsidTr="00592BA7">
        <w:trPr>
          <w:trHeight w:val="113"/>
          <w:tblHeader/>
        </w:trPr>
        <w:tc>
          <w:tcPr>
            <w:tcW w:w="898" w:type="pct"/>
            <w:shd w:val="clear" w:color="auto" w:fill="auto"/>
            <w:tcMar>
              <w:left w:w="28" w:type="dxa"/>
              <w:right w:w="28" w:type="dxa"/>
            </w:tcMar>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Наименование котельной</w:t>
            </w:r>
          </w:p>
        </w:tc>
        <w:tc>
          <w:tcPr>
            <w:tcW w:w="1758" w:type="pct"/>
            <w:shd w:val="clear" w:color="auto" w:fill="auto"/>
            <w:tcMar>
              <w:left w:w="28" w:type="dxa"/>
              <w:right w:w="28" w:type="dxa"/>
            </w:tcMar>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Перечень регламентных работ </w:t>
            </w:r>
          </w:p>
        </w:tc>
        <w:tc>
          <w:tcPr>
            <w:tcW w:w="1167" w:type="pct"/>
            <w:shd w:val="clear" w:color="auto" w:fill="auto"/>
            <w:tcMar>
              <w:left w:w="28" w:type="dxa"/>
              <w:right w:w="28" w:type="dxa"/>
            </w:tcMar>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Периодичность проведения регламентных работ</w:t>
            </w:r>
          </w:p>
        </w:tc>
        <w:tc>
          <w:tcPr>
            <w:tcW w:w="1177" w:type="pct"/>
            <w:shd w:val="clear" w:color="auto" w:fill="auto"/>
            <w:tcMar>
              <w:left w:w="28" w:type="dxa"/>
              <w:right w:w="28" w:type="dxa"/>
            </w:tcMar>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Период проведения</w:t>
            </w:r>
          </w:p>
        </w:tc>
      </w:tr>
      <w:tr w:rsidR="00171D1D" w:rsidRPr="00592BA7" w:rsidTr="00592BA7">
        <w:trPr>
          <w:trHeight w:val="113"/>
        </w:trPr>
        <w:tc>
          <w:tcPr>
            <w:tcW w:w="898" w:type="pct"/>
            <w:vMerge w:val="restart"/>
            <w:tcMar>
              <w:left w:w="28" w:type="dxa"/>
              <w:right w:w="28" w:type="dxa"/>
            </w:tcMar>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Котельная с. Юманай</w:t>
            </w:r>
          </w:p>
        </w:tc>
        <w:tc>
          <w:tcPr>
            <w:tcW w:w="1758" w:type="pct"/>
            <w:shd w:val="clear" w:color="auto" w:fill="auto"/>
            <w:tcMar>
              <w:left w:w="28" w:type="dxa"/>
              <w:right w:w="28" w:type="dxa"/>
            </w:tcMar>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Обслуживание </w:t>
            </w:r>
          </w:p>
        </w:tc>
        <w:tc>
          <w:tcPr>
            <w:tcW w:w="1167" w:type="pct"/>
            <w:shd w:val="clear" w:color="auto" w:fill="auto"/>
            <w:tcMar>
              <w:left w:w="28" w:type="dxa"/>
              <w:right w:w="28" w:type="dxa"/>
            </w:tcMar>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Постоянно </w:t>
            </w:r>
          </w:p>
        </w:tc>
        <w:tc>
          <w:tcPr>
            <w:tcW w:w="1177" w:type="pct"/>
            <w:shd w:val="clear" w:color="auto" w:fill="auto"/>
            <w:tcMar>
              <w:left w:w="28" w:type="dxa"/>
              <w:right w:w="28" w:type="dxa"/>
            </w:tcMar>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ОЗП</w:t>
            </w:r>
          </w:p>
        </w:tc>
      </w:tr>
      <w:tr w:rsidR="00171D1D" w:rsidRPr="00592BA7" w:rsidTr="00592BA7">
        <w:trPr>
          <w:trHeight w:val="113"/>
        </w:trPr>
        <w:tc>
          <w:tcPr>
            <w:tcW w:w="898" w:type="pct"/>
            <w:vMerge/>
            <w:tcMar>
              <w:left w:w="28" w:type="dxa"/>
              <w:right w:w="28" w:type="dxa"/>
            </w:tcMar>
            <w:vAlign w:val="center"/>
          </w:tcPr>
          <w:p w:rsidR="00171D1D" w:rsidRPr="00592BA7" w:rsidRDefault="00171D1D" w:rsidP="00592BA7">
            <w:pPr>
              <w:jc w:val="both"/>
              <w:rPr>
                <w:rFonts w:ascii="Times New Roman" w:hAnsi="Times New Roman" w:cs="Times New Roman"/>
                <w:sz w:val="20"/>
                <w:szCs w:val="20"/>
                <w:lang w:eastAsia="ru-RU"/>
              </w:rPr>
            </w:pPr>
          </w:p>
        </w:tc>
        <w:tc>
          <w:tcPr>
            <w:tcW w:w="1758" w:type="pct"/>
            <w:shd w:val="clear" w:color="auto" w:fill="auto"/>
            <w:tcMar>
              <w:left w:w="28" w:type="dxa"/>
              <w:right w:w="28" w:type="dxa"/>
            </w:tcMar>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Текущий и Капитальный ремонт</w:t>
            </w:r>
          </w:p>
        </w:tc>
        <w:tc>
          <w:tcPr>
            <w:tcW w:w="1167" w:type="pct"/>
            <w:shd w:val="clear" w:color="auto" w:fill="auto"/>
            <w:tcMar>
              <w:left w:w="28" w:type="dxa"/>
              <w:right w:w="28" w:type="dxa"/>
            </w:tcMar>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Ежегодно </w:t>
            </w:r>
          </w:p>
        </w:tc>
        <w:tc>
          <w:tcPr>
            <w:tcW w:w="1177" w:type="pct"/>
            <w:shd w:val="clear" w:color="auto" w:fill="auto"/>
            <w:tcMar>
              <w:left w:w="28" w:type="dxa"/>
              <w:right w:w="28" w:type="dxa"/>
            </w:tcMar>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Летний</w:t>
            </w:r>
          </w:p>
        </w:tc>
      </w:tr>
      <w:tr w:rsidR="00171D1D" w:rsidRPr="00592BA7" w:rsidTr="00592BA7">
        <w:trPr>
          <w:trHeight w:val="113"/>
        </w:trPr>
        <w:tc>
          <w:tcPr>
            <w:tcW w:w="898" w:type="pct"/>
            <w:vMerge w:val="restart"/>
            <w:tcMar>
              <w:left w:w="28" w:type="dxa"/>
              <w:right w:w="28" w:type="dxa"/>
            </w:tcMar>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Котельная с. Русские Алгаши </w:t>
            </w:r>
          </w:p>
        </w:tc>
        <w:tc>
          <w:tcPr>
            <w:tcW w:w="1758" w:type="pct"/>
            <w:shd w:val="clear" w:color="auto" w:fill="auto"/>
            <w:tcMar>
              <w:left w:w="28" w:type="dxa"/>
              <w:right w:w="28" w:type="dxa"/>
            </w:tcMar>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Обслуживание </w:t>
            </w:r>
          </w:p>
        </w:tc>
        <w:tc>
          <w:tcPr>
            <w:tcW w:w="1167" w:type="pct"/>
            <w:shd w:val="clear" w:color="auto" w:fill="auto"/>
            <w:tcMar>
              <w:left w:w="28" w:type="dxa"/>
              <w:right w:w="28" w:type="dxa"/>
            </w:tcMar>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Постоянно </w:t>
            </w:r>
          </w:p>
        </w:tc>
        <w:tc>
          <w:tcPr>
            <w:tcW w:w="1177" w:type="pct"/>
            <w:shd w:val="clear" w:color="auto" w:fill="auto"/>
            <w:tcMar>
              <w:left w:w="28" w:type="dxa"/>
              <w:right w:w="28" w:type="dxa"/>
            </w:tcMar>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ОЗП</w:t>
            </w:r>
          </w:p>
        </w:tc>
      </w:tr>
      <w:tr w:rsidR="00171D1D" w:rsidRPr="00592BA7" w:rsidTr="00592BA7">
        <w:trPr>
          <w:trHeight w:val="113"/>
        </w:trPr>
        <w:tc>
          <w:tcPr>
            <w:tcW w:w="898" w:type="pct"/>
            <w:vMerge/>
            <w:tcMar>
              <w:left w:w="28" w:type="dxa"/>
              <w:right w:w="28" w:type="dxa"/>
            </w:tcMar>
            <w:vAlign w:val="center"/>
          </w:tcPr>
          <w:p w:rsidR="00171D1D" w:rsidRPr="00592BA7" w:rsidRDefault="00171D1D" w:rsidP="00592BA7">
            <w:pPr>
              <w:jc w:val="both"/>
              <w:rPr>
                <w:rFonts w:ascii="Times New Roman" w:hAnsi="Times New Roman" w:cs="Times New Roman"/>
                <w:sz w:val="20"/>
                <w:szCs w:val="20"/>
                <w:lang w:eastAsia="ru-RU"/>
              </w:rPr>
            </w:pPr>
          </w:p>
        </w:tc>
        <w:tc>
          <w:tcPr>
            <w:tcW w:w="1758" w:type="pct"/>
            <w:shd w:val="clear" w:color="auto" w:fill="auto"/>
            <w:tcMar>
              <w:left w:w="28" w:type="dxa"/>
              <w:right w:w="28" w:type="dxa"/>
            </w:tcMar>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Текущий и Капитальный ремонт</w:t>
            </w:r>
          </w:p>
        </w:tc>
        <w:tc>
          <w:tcPr>
            <w:tcW w:w="1167" w:type="pct"/>
            <w:shd w:val="clear" w:color="auto" w:fill="auto"/>
            <w:tcMar>
              <w:left w:w="28" w:type="dxa"/>
              <w:right w:w="28" w:type="dxa"/>
            </w:tcMar>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Ежегодно </w:t>
            </w:r>
          </w:p>
        </w:tc>
        <w:tc>
          <w:tcPr>
            <w:tcW w:w="1177" w:type="pct"/>
            <w:shd w:val="clear" w:color="auto" w:fill="auto"/>
            <w:tcMar>
              <w:left w:w="28" w:type="dxa"/>
              <w:right w:w="28" w:type="dxa"/>
            </w:tcMar>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Летний</w:t>
            </w:r>
          </w:p>
        </w:tc>
      </w:tr>
    </w:tbl>
    <w:p w:rsidR="00171D1D" w:rsidRPr="00592BA7" w:rsidRDefault="00171D1D" w:rsidP="00592BA7">
      <w:pPr>
        <w:jc w:val="both"/>
        <w:rPr>
          <w:rFonts w:ascii="Times New Roman" w:hAnsi="Times New Roman" w:cs="Times New Roman"/>
          <w:sz w:val="20"/>
          <w:szCs w:val="20"/>
        </w:rPr>
      </w:pP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Ежегодные ремонты тепловых сетей перед отопительным периодом производятся в соответствие с планом мероприятий по подготовке объектов ЖКХ к работе в осенне-зимнем периоде. Ремонт тепловых сетей ведётся с заменой изношенных участков.</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В соответствии с действующими техническими и нормативными документами планирование летних ремонтов осуществляется с учетом результатов испытаний: ежегодных на гидравлическую плотность, раз в пять лет на расчетную температуру и гидравлические потери, количество повреждений трубопроводов в период эксплуатации, срок эксплуатации.</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Резервирование</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В рассматриваемой системе теплоснабжения резервирующие участки тепловых сетей отсутствуют.</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Основные проблемы функционирования тепловых сетей</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Нестабильный гидравлический режим сетей отопления, отсутствие регулировки на сетях теплоснабжения, приводящие к «перетопам» объектов, ближайших к источникам теплоснабжения.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3.2.2.3. Анализ зон действия источников теплоснабжения и их рациональности, имеющиеся проблемы и направления их решения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Централизованным теплоснабжением от котельных обеспечен жилой фонд, объекты общественно-делового назначения Шумерлинского муниципального округа.</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Зоны обслуживания представлены в таблице 3.2.2.3.1.</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Таблица 3.2.2.3.1</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Зоны обслуживание источников тепла</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11"/>
        <w:gridCol w:w="5601"/>
      </w:tblGrid>
      <w:tr w:rsidR="00171D1D" w:rsidRPr="00592BA7" w:rsidTr="00592BA7">
        <w:trPr>
          <w:tblHeader/>
        </w:trPr>
        <w:tc>
          <w:tcPr>
            <w:tcW w:w="4111" w:type="dxa"/>
            <w:shd w:val="clear" w:color="auto" w:fill="auto"/>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Наименование котельной</w:t>
            </w:r>
          </w:p>
        </w:tc>
        <w:tc>
          <w:tcPr>
            <w:tcW w:w="5601" w:type="dxa"/>
            <w:shd w:val="clear" w:color="auto" w:fill="auto"/>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Потребители</w:t>
            </w:r>
          </w:p>
        </w:tc>
      </w:tr>
      <w:tr w:rsidR="00171D1D" w:rsidRPr="00592BA7" w:rsidTr="00592BA7">
        <w:tc>
          <w:tcPr>
            <w:tcW w:w="4111"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Котельная с. Юманай</w:t>
            </w:r>
          </w:p>
        </w:tc>
        <w:tc>
          <w:tcPr>
            <w:tcW w:w="5601"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 Юманай</w:t>
            </w:r>
          </w:p>
        </w:tc>
      </w:tr>
      <w:tr w:rsidR="00171D1D" w:rsidRPr="00592BA7" w:rsidTr="00592BA7">
        <w:tc>
          <w:tcPr>
            <w:tcW w:w="4111"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Котельная с. Русские Алгаши </w:t>
            </w:r>
          </w:p>
        </w:tc>
        <w:tc>
          <w:tcPr>
            <w:tcW w:w="5601"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 Русские Алгаши</w:t>
            </w:r>
          </w:p>
        </w:tc>
      </w:tr>
    </w:tbl>
    <w:p w:rsidR="00171D1D" w:rsidRPr="00592BA7" w:rsidRDefault="00171D1D" w:rsidP="00592BA7">
      <w:pPr>
        <w:jc w:val="both"/>
        <w:rPr>
          <w:rFonts w:ascii="Times New Roman" w:hAnsi="Times New Roman" w:cs="Times New Roman"/>
          <w:sz w:val="20"/>
          <w:szCs w:val="20"/>
        </w:rPr>
      </w:pP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Основные проблемы функционирования и развития систем теплоснабжения распределены на 3 группы по основным составляющим процесса теплоснабжения: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r w:rsidRPr="00592BA7">
        <w:rPr>
          <w:rFonts w:ascii="Times New Roman" w:hAnsi="Times New Roman" w:cs="Times New Roman"/>
          <w:sz w:val="20"/>
          <w:szCs w:val="20"/>
        </w:rPr>
        <w:tab/>
        <w:t>производство;</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r w:rsidRPr="00592BA7">
        <w:rPr>
          <w:rFonts w:ascii="Times New Roman" w:hAnsi="Times New Roman" w:cs="Times New Roman"/>
          <w:sz w:val="20"/>
          <w:szCs w:val="20"/>
        </w:rPr>
        <w:tab/>
        <w:t>транспорт;</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r w:rsidRPr="00592BA7">
        <w:rPr>
          <w:rFonts w:ascii="Times New Roman" w:hAnsi="Times New Roman" w:cs="Times New Roman"/>
          <w:sz w:val="20"/>
          <w:szCs w:val="20"/>
        </w:rPr>
        <w:tab/>
        <w:t>потребитель.</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Основные проблемы функционирования котельных состоят в следующем:</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r w:rsidRPr="00592BA7">
        <w:rPr>
          <w:rFonts w:ascii="Times New Roman" w:hAnsi="Times New Roman" w:cs="Times New Roman"/>
          <w:sz w:val="20"/>
          <w:szCs w:val="20"/>
        </w:rPr>
        <w:tab/>
        <w:t>отсутствие достоверного контроля и оперативного управления за процессом производства тепловой энергии.</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Основные проблемы функционирования тепловых сетей состоят в следующем:</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r w:rsidRPr="00592BA7">
        <w:rPr>
          <w:rFonts w:ascii="Times New Roman" w:hAnsi="Times New Roman" w:cs="Times New Roman"/>
          <w:sz w:val="20"/>
          <w:szCs w:val="20"/>
        </w:rPr>
        <w:tab/>
        <w:t>высокая степень износа тепловых сетей;</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r w:rsidRPr="00592BA7">
        <w:rPr>
          <w:rFonts w:ascii="Times New Roman" w:hAnsi="Times New Roman" w:cs="Times New Roman"/>
          <w:sz w:val="20"/>
          <w:szCs w:val="20"/>
        </w:rPr>
        <w:tab/>
        <w:t>нарушение гидравлических режимов тепловых сетей (гидравлическое разрегулирование) и сопутствующие этому фактору «недотопы» и «перетопы» зданий;</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r w:rsidRPr="00592BA7">
        <w:rPr>
          <w:rFonts w:ascii="Times New Roman" w:hAnsi="Times New Roman" w:cs="Times New Roman"/>
          <w:sz w:val="20"/>
          <w:szCs w:val="20"/>
        </w:rPr>
        <w:tab/>
        <w:t>высокий уровень затрат на эксплуатацию тепловых сетей.</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Основные проблемы функционирования теплопотребляющих устройств:</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r w:rsidRPr="00592BA7">
        <w:rPr>
          <w:rFonts w:ascii="Times New Roman" w:hAnsi="Times New Roman" w:cs="Times New Roman"/>
          <w:sz w:val="20"/>
          <w:szCs w:val="20"/>
        </w:rPr>
        <w:tab/>
        <w:t>отсутствуют.</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На перспективу предлагается выполнить мероприятия по реконструкции и модернизации тепловых сетей, подлежащих замене в связи с исчерпанием эксплуатационного ресурса.</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3.2.2.4. Анализ имеющихся резервов и дефицитов мощности в системе теплоснабжения и ожидаемых резервов, и дефицитов</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Резервы тепловой мощности нетто по каждому источнику тепловой энергии приведены в таблице 3.2.2.4.1. Дефицит тепловой мощности в 2024 году на источниках тепловой энергии с. Русские Алгаши, с. Юманай отсутствует.</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Таблица 3.2.2.4.1.</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Тепловой баланс системы теплоснабжения источников теплоснабжения</w:t>
      </w:r>
    </w:p>
    <w:tbl>
      <w:tblPr>
        <w:tblW w:w="5000" w:type="pct"/>
        <w:jc w:val="center"/>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7178"/>
        <w:gridCol w:w="1290"/>
        <w:gridCol w:w="1288"/>
      </w:tblGrid>
      <w:tr w:rsidR="00171D1D" w:rsidRPr="00592BA7" w:rsidTr="00592BA7">
        <w:trPr>
          <w:tblHeader/>
          <w:jc w:val="center"/>
        </w:trPr>
        <w:tc>
          <w:tcPr>
            <w:tcW w:w="3679" w:type="pct"/>
            <w:tcBorders>
              <w:top w:val="single" w:sz="4" w:space="0" w:color="auto"/>
              <w:bottom w:val="single" w:sz="4" w:space="0" w:color="auto"/>
              <w:right w:val="single" w:sz="4" w:space="0" w:color="auto"/>
            </w:tcBorders>
            <w:tcMar>
              <w:left w:w="11" w:type="dxa"/>
              <w:right w:w="11" w:type="dxa"/>
            </w:tcMar>
            <w:vAlign w:val="center"/>
          </w:tcPr>
          <w:p w:rsidR="00171D1D" w:rsidRPr="00592BA7" w:rsidRDefault="00171D1D" w:rsidP="00592BA7">
            <w:pPr>
              <w:jc w:val="both"/>
              <w:rPr>
                <w:rFonts w:ascii="Times New Roman" w:hAnsi="Times New Roman" w:cs="Times New Roman"/>
                <w:sz w:val="20"/>
                <w:szCs w:val="20"/>
              </w:rPr>
            </w:pPr>
            <w:bookmarkStart w:id="2" w:name="_Hlk122888027"/>
            <w:r w:rsidRPr="00592BA7">
              <w:rPr>
                <w:rFonts w:ascii="Times New Roman" w:hAnsi="Times New Roman" w:cs="Times New Roman"/>
                <w:sz w:val="20"/>
                <w:szCs w:val="20"/>
              </w:rPr>
              <w:t>Наименование показателя</w:t>
            </w:r>
          </w:p>
        </w:tc>
        <w:tc>
          <w:tcPr>
            <w:tcW w:w="661" w:type="pct"/>
            <w:tcBorders>
              <w:top w:val="single" w:sz="4" w:space="0" w:color="auto"/>
              <w:bottom w:val="single" w:sz="4" w:space="0" w:color="auto"/>
              <w:right w:val="single" w:sz="4" w:space="0" w:color="auto"/>
            </w:tcBorders>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Котельная с. Юманай</w:t>
            </w:r>
          </w:p>
        </w:tc>
        <w:tc>
          <w:tcPr>
            <w:tcW w:w="661" w:type="pct"/>
            <w:tcBorders>
              <w:top w:val="single" w:sz="4" w:space="0" w:color="auto"/>
              <w:left w:val="single" w:sz="4" w:space="0" w:color="auto"/>
              <w:bottom w:val="single" w:sz="4" w:space="0" w:color="auto"/>
              <w:right w:val="single" w:sz="4" w:space="0" w:color="auto"/>
            </w:tcBorders>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Котельная с. Русские Алгаши </w:t>
            </w:r>
          </w:p>
        </w:tc>
      </w:tr>
      <w:tr w:rsidR="00171D1D" w:rsidRPr="00592BA7" w:rsidTr="00592BA7">
        <w:trPr>
          <w:jc w:val="center"/>
        </w:trPr>
        <w:tc>
          <w:tcPr>
            <w:tcW w:w="3679" w:type="pct"/>
            <w:tcBorders>
              <w:top w:val="single" w:sz="4" w:space="0" w:color="auto"/>
              <w:bottom w:val="single" w:sz="4" w:space="0" w:color="auto"/>
              <w:right w:val="single" w:sz="4" w:space="0" w:color="auto"/>
            </w:tcBorders>
            <w:tcMar>
              <w:left w:w="11" w:type="dxa"/>
              <w:right w:w="11"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Установленная тепловая мощность, Гкал/ч</w:t>
            </w:r>
          </w:p>
        </w:tc>
        <w:tc>
          <w:tcPr>
            <w:tcW w:w="661" w:type="pct"/>
            <w:tcBorders>
              <w:top w:val="single" w:sz="4" w:space="0" w:color="auto"/>
              <w:bottom w:val="single" w:sz="4" w:space="0" w:color="auto"/>
              <w:right w:val="single" w:sz="4" w:space="0" w:color="auto"/>
            </w:tcBorders>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1,032</w:t>
            </w:r>
          </w:p>
        </w:tc>
        <w:tc>
          <w:tcPr>
            <w:tcW w:w="661" w:type="pct"/>
            <w:tcBorders>
              <w:top w:val="single" w:sz="4" w:space="0" w:color="auto"/>
              <w:left w:val="single" w:sz="4" w:space="0" w:color="auto"/>
              <w:bottom w:val="single" w:sz="4" w:space="0" w:color="auto"/>
              <w:right w:val="single" w:sz="4" w:space="0" w:color="auto"/>
            </w:tcBorders>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0,516</w:t>
            </w:r>
          </w:p>
        </w:tc>
      </w:tr>
      <w:tr w:rsidR="00171D1D" w:rsidRPr="00592BA7" w:rsidTr="00592BA7">
        <w:trPr>
          <w:jc w:val="center"/>
        </w:trPr>
        <w:tc>
          <w:tcPr>
            <w:tcW w:w="3679" w:type="pct"/>
            <w:tcBorders>
              <w:top w:val="single" w:sz="4" w:space="0" w:color="auto"/>
              <w:bottom w:val="single" w:sz="4" w:space="0" w:color="auto"/>
              <w:right w:val="single" w:sz="4" w:space="0" w:color="auto"/>
            </w:tcBorders>
            <w:tcMar>
              <w:left w:w="11" w:type="dxa"/>
              <w:right w:w="11"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Располагаемая тепловая мощность, Гкал/ч</w:t>
            </w:r>
          </w:p>
        </w:tc>
        <w:tc>
          <w:tcPr>
            <w:tcW w:w="661" w:type="pct"/>
            <w:tcBorders>
              <w:top w:val="single" w:sz="4" w:space="0" w:color="auto"/>
              <w:bottom w:val="single" w:sz="4" w:space="0" w:color="auto"/>
              <w:right w:val="single" w:sz="4" w:space="0" w:color="auto"/>
            </w:tcBorders>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1,032</w:t>
            </w:r>
          </w:p>
        </w:tc>
        <w:tc>
          <w:tcPr>
            <w:tcW w:w="661" w:type="pct"/>
            <w:tcBorders>
              <w:top w:val="single" w:sz="4" w:space="0" w:color="auto"/>
              <w:left w:val="single" w:sz="4" w:space="0" w:color="auto"/>
              <w:bottom w:val="single" w:sz="4" w:space="0" w:color="auto"/>
              <w:right w:val="single" w:sz="4" w:space="0" w:color="auto"/>
            </w:tcBorders>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0,516</w:t>
            </w:r>
          </w:p>
        </w:tc>
      </w:tr>
      <w:tr w:rsidR="00171D1D" w:rsidRPr="00592BA7" w:rsidTr="00592BA7">
        <w:trPr>
          <w:jc w:val="center"/>
        </w:trPr>
        <w:tc>
          <w:tcPr>
            <w:tcW w:w="3679" w:type="pct"/>
            <w:tcBorders>
              <w:top w:val="single" w:sz="4" w:space="0" w:color="auto"/>
              <w:bottom w:val="single" w:sz="4" w:space="0" w:color="auto"/>
              <w:right w:val="single" w:sz="4" w:space="0" w:color="auto"/>
            </w:tcBorders>
            <w:tcMar>
              <w:left w:w="11" w:type="dxa"/>
              <w:right w:w="11"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Затраты тепла на собственные и хозяйственные нужды котельной в горячей воде, Гкал/ч</w:t>
            </w:r>
          </w:p>
        </w:tc>
        <w:tc>
          <w:tcPr>
            <w:tcW w:w="661" w:type="pct"/>
            <w:tcBorders>
              <w:top w:val="single" w:sz="4" w:space="0" w:color="auto"/>
              <w:bottom w:val="single" w:sz="4" w:space="0" w:color="auto"/>
              <w:right w:val="single" w:sz="4" w:space="0" w:color="auto"/>
            </w:tcBorders>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rPr>
              <w:t>0,04</w:t>
            </w:r>
          </w:p>
        </w:tc>
        <w:tc>
          <w:tcPr>
            <w:tcW w:w="661" w:type="pct"/>
            <w:tcBorders>
              <w:top w:val="single" w:sz="4" w:space="0" w:color="auto"/>
              <w:left w:val="single" w:sz="4" w:space="0" w:color="auto"/>
              <w:bottom w:val="single" w:sz="4" w:space="0" w:color="auto"/>
              <w:right w:val="single" w:sz="4" w:space="0" w:color="auto"/>
            </w:tcBorders>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0,02</w:t>
            </w:r>
          </w:p>
        </w:tc>
      </w:tr>
      <w:tr w:rsidR="00171D1D" w:rsidRPr="00592BA7" w:rsidTr="00592BA7">
        <w:trPr>
          <w:jc w:val="center"/>
        </w:trPr>
        <w:tc>
          <w:tcPr>
            <w:tcW w:w="3679" w:type="pct"/>
            <w:tcBorders>
              <w:top w:val="single" w:sz="4" w:space="0" w:color="auto"/>
              <w:bottom w:val="single" w:sz="4" w:space="0" w:color="auto"/>
              <w:right w:val="single" w:sz="4" w:space="0" w:color="auto"/>
            </w:tcBorders>
            <w:tcMar>
              <w:left w:w="11" w:type="dxa"/>
              <w:right w:w="11"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Потери в тепловых сетях в горячей воде, Гкал/ч</w:t>
            </w:r>
          </w:p>
        </w:tc>
        <w:tc>
          <w:tcPr>
            <w:tcW w:w="661" w:type="pct"/>
            <w:tcBorders>
              <w:top w:val="single" w:sz="4" w:space="0" w:color="auto"/>
              <w:bottom w:val="single" w:sz="4" w:space="0" w:color="auto"/>
              <w:right w:val="single" w:sz="4" w:space="0" w:color="auto"/>
            </w:tcBorders>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661" w:type="pct"/>
            <w:tcBorders>
              <w:top w:val="single" w:sz="4" w:space="0" w:color="auto"/>
              <w:left w:val="single" w:sz="4" w:space="0" w:color="auto"/>
              <w:bottom w:val="single" w:sz="4" w:space="0" w:color="auto"/>
              <w:right w:val="single" w:sz="4" w:space="0" w:color="auto"/>
            </w:tcBorders>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r>
      <w:tr w:rsidR="00171D1D" w:rsidRPr="00592BA7" w:rsidTr="00592BA7">
        <w:trPr>
          <w:jc w:val="center"/>
        </w:trPr>
        <w:tc>
          <w:tcPr>
            <w:tcW w:w="3679" w:type="pct"/>
            <w:tcBorders>
              <w:top w:val="single" w:sz="4" w:space="0" w:color="auto"/>
              <w:bottom w:val="single" w:sz="4" w:space="0" w:color="auto"/>
              <w:right w:val="single" w:sz="4" w:space="0" w:color="auto"/>
            </w:tcBorders>
            <w:tcMar>
              <w:left w:w="11" w:type="dxa"/>
              <w:right w:w="11"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Присоединенная договорная тепловая нагрузка в горячей воде, Гкал/ч, в том числе</w:t>
            </w:r>
          </w:p>
        </w:tc>
        <w:tc>
          <w:tcPr>
            <w:tcW w:w="661" w:type="pct"/>
            <w:tcBorders>
              <w:top w:val="single" w:sz="4" w:space="0" w:color="auto"/>
              <w:bottom w:val="single" w:sz="4" w:space="0" w:color="auto"/>
              <w:right w:val="single" w:sz="4" w:space="0" w:color="auto"/>
            </w:tcBorders>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0,6</w:t>
            </w:r>
          </w:p>
        </w:tc>
        <w:tc>
          <w:tcPr>
            <w:tcW w:w="661" w:type="pct"/>
            <w:tcBorders>
              <w:top w:val="single" w:sz="4" w:space="0" w:color="auto"/>
              <w:left w:val="single" w:sz="4" w:space="0" w:color="auto"/>
              <w:bottom w:val="single" w:sz="4" w:space="0" w:color="auto"/>
              <w:right w:val="single" w:sz="4" w:space="0" w:color="auto"/>
            </w:tcBorders>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0,469</w:t>
            </w:r>
          </w:p>
        </w:tc>
      </w:tr>
      <w:tr w:rsidR="00171D1D" w:rsidRPr="00592BA7" w:rsidTr="00592BA7">
        <w:trPr>
          <w:jc w:val="center"/>
        </w:trPr>
        <w:tc>
          <w:tcPr>
            <w:tcW w:w="3679" w:type="pct"/>
            <w:tcBorders>
              <w:top w:val="single" w:sz="4" w:space="0" w:color="auto"/>
              <w:bottom w:val="single" w:sz="4" w:space="0" w:color="auto"/>
              <w:right w:val="single" w:sz="4" w:space="0" w:color="auto"/>
            </w:tcBorders>
            <w:tcMar>
              <w:left w:w="11" w:type="dxa"/>
              <w:right w:w="11"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отопление, Гкал/ч</w:t>
            </w:r>
          </w:p>
        </w:tc>
        <w:tc>
          <w:tcPr>
            <w:tcW w:w="661" w:type="pct"/>
            <w:tcBorders>
              <w:top w:val="single" w:sz="4" w:space="0" w:color="auto"/>
              <w:bottom w:val="single" w:sz="4" w:space="0" w:color="auto"/>
              <w:right w:val="single" w:sz="4" w:space="0" w:color="auto"/>
            </w:tcBorders>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0,6</w:t>
            </w:r>
          </w:p>
        </w:tc>
        <w:tc>
          <w:tcPr>
            <w:tcW w:w="661" w:type="pct"/>
            <w:tcBorders>
              <w:top w:val="single" w:sz="4" w:space="0" w:color="auto"/>
              <w:left w:val="single" w:sz="4" w:space="0" w:color="auto"/>
              <w:bottom w:val="single" w:sz="4" w:space="0" w:color="auto"/>
              <w:right w:val="single" w:sz="4" w:space="0" w:color="auto"/>
            </w:tcBorders>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0,469</w:t>
            </w:r>
          </w:p>
        </w:tc>
      </w:tr>
      <w:tr w:rsidR="00171D1D" w:rsidRPr="00592BA7" w:rsidTr="00592BA7">
        <w:trPr>
          <w:jc w:val="center"/>
        </w:trPr>
        <w:tc>
          <w:tcPr>
            <w:tcW w:w="3679" w:type="pct"/>
            <w:tcBorders>
              <w:top w:val="single" w:sz="4" w:space="0" w:color="auto"/>
              <w:bottom w:val="single" w:sz="4" w:space="0" w:color="auto"/>
              <w:right w:val="single" w:sz="4" w:space="0" w:color="auto"/>
            </w:tcBorders>
            <w:tcMar>
              <w:left w:w="11" w:type="dxa"/>
              <w:right w:w="11"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вентиляция, Гкал/ч</w:t>
            </w:r>
          </w:p>
        </w:tc>
        <w:tc>
          <w:tcPr>
            <w:tcW w:w="661" w:type="pct"/>
            <w:tcBorders>
              <w:top w:val="single" w:sz="4" w:space="0" w:color="auto"/>
              <w:bottom w:val="single" w:sz="4" w:space="0" w:color="auto"/>
              <w:right w:val="single" w:sz="4" w:space="0" w:color="auto"/>
            </w:tcBorders>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c>
          <w:tcPr>
            <w:tcW w:w="661" w:type="pct"/>
            <w:tcBorders>
              <w:top w:val="single" w:sz="4" w:space="0" w:color="auto"/>
              <w:left w:val="single" w:sz="4" w:space="0" w:color="auto"/>
              <w:bottom w:val="single" w:sz="4" w:space="0" w:color="auto"/>
              <w:right w:val="single" w:sz="4" w:space="0" w:color="auto"/>
            </w:tcBorders>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r>
      <w:tr w:rsidR="00171D1D" w:rsidRPr="00592BA7" w:rsidTr="00592BA7">
        <w:trPr>
          <w:jc w:val="center"/>
        </w:trPr>
        <w:tc>
          <w:tcPr>
            <w:tcW w:w="3679" w:type="pct"/>
            <w:tcBorders>
              <w:top w:val="single" w:sz="4" w:space="0" w:color="auto"/>
              <w:bottom w:val="single" w:sz="4" w:space="0" w:color="auto"/>
              <w:right w:val="single" w:sz="4" w:space="0" w:color="auto"/>
            </w:tcBorders>
            <w:tcMar>
              <w:left w:w="11" w:type="dxa"/>
              <w:right w:w="11"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горячее водоснабжение, Гкал/ч</w:t>
            </w:r>
          </w:p>
        </w:tc>
        <w:tc>
          <w:tcPr>
            <w:tcW w:w="661" w:type="pct"/>
            <w:tcBorders>
              <w:top w:val="single" w:sz="4" w:space="0" w:color="auto"/>
              <w:bottom w:val="single" w:sz="4" w:space="0" w:color="auto"/>
              <w:right w:val="single" w:sz="4" w:space="0" w:color="auto"/>
            </w:tcBorders>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c>
          <w:tcPr>
            <w:tcW w:w="661" w:type="pct"/>
            <w:tcBorders>
              <w:top w:val="single" w:sz="4" w:space="0" w:color="auto"/>
              <w:left w:val="single" w:sz="4" w:space="0" w:color="auto"/>
              <w:bottom w:val="single" w:sz="4" w:space="0" w:color="auto"/>
              <w:right w:val="single" w:sz="4" w:space="0" w:color="auto"/>
            </w:tcBorders>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r>
      <w:tr w:rsidR="00171D1D" w:rsidRPr="00592BA7" w:rsidTr="00592BA7">
        <w:trPr>
          <w:jc w:val="center"/>
        </w:trPr>
        <w:tc>
          <w:tcPr>
            <w:tcW w:w="3679" w:type="pct"/>
            <w:tcBorders>
              <w:top w:val="single" w:sz="4" w:space="0" w:color="auto"/>
              <w:bottom w:val="single" w:sz="4" w:space="0" w:color="auto"/>
              <w:right w:val="single" w:sz="4" w:space="0" w:color="auto"/>
            </w:tcBorders>
            <w:tcMar>
              <w:left w:w="11" w:type="dxa"/>
              <w:right w:w="11"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Присоединенная расчетная тепловая нагрузка в горячей воде, Гкал/ч, в том числе:</w:t>
            </w:r>
          </w:p>
        </w:tc>
        <w:tc>
          <w:tcPr>
            <w:tcW w:w="661" w:type="pct"/>
            <w:tcBorders>
              <w:top w:val="single" w:sz="4" w:space="0" w:color="auto"/>
              <w:bottom w:val="single" w:sz="4" w:space="0" w:color="auto"/>
              <w:right w:val="single" w:sz="4" w:space="0" w:color="auto"/>
            </w:tcBorders>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0,6</w:t>
            </w:r>
          </w:p>
        </w:tc>
        <w:tc>
          <w:tcPr>
            <w:tcW w:w="661" w:type="pct"/>
            <w:tcBorders>
              <w:top w:val="single" w:sz="4" w:space="0" w:color="auto"/>
              <w:left w:val="single" w:sz="4" w:space="0" w:color="auto"/>
              <w:bottom w:val="single" w:sz="4" w:space="0" w:color="auto"/>
              <w:right w:val="single" w:sz="4" w:space="0" w:color="auto"/>
            </w:tcBorders>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0,469</w:t>
            </w:r>
          </w:p>
        </w:tc>
      </w:tr>
      <w:tr w:rsidR="00171D1D" w:rsidRPr="00592BA7" w:rsidTr="00592BA7">
        <w:trPr>
          <w:jc w:val="center"/>
        </w:trPr>
        <w:tc>
          <w:tcPr>
            <w:tcW w:w="3679" w:type="pct"/>
            <w:tcBorders>
              <w:top w:val="single" w:sz="4" w:space="0" w:color="auto"/>
              <w:bottom w:val="single" w:sz="4" w:space="0" w:color="auto"/>
              <w:right w:val="single" w:sz="4" w:space="0" w:color="auto"/>
            </w:tcBorders>
            <w:tcMar>
              <w:left w:w="11" w:type="dxa"/>
              <w:right w:w="11"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отопление, Гкал/ч</w:t>
            </w:r>
          </w:p>
        </w:tc>
        <w:tc>
          <w:tcPr>
            <w:tcW w:w="661" w:type="pct"/>
            <w:tcBorders>
              <w:top w:val="single" w:sz="4" w:space="0" w:color="auto"/>
              <w:bottom w:val="single" w:sz="4" w:space="0" w:color="auto"/>
              <w:right w:val="single" w:sz="4" w:space="0" w:color="auto"/>
            </w:tcBorders>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0,6</w:t>
            </w:r>
          </w:p>
        </w:tc>
        <w:tc>
          <w:tcPr>
            <w:tcW w:w="661" w:type="pct"/>
            <w:tcBorders>
              <w:top w:val="single" w:sz="4" w:space="0" w:color="auto"/>
              <w:left w:val="single" w:sz="4" w:space="0" w:color="auto"/>
              <w:bottom w:val="single" w:sz="4" w:space="0" w:color="auto"/>
              <w:right w:val="single" w:sz="4" w:space="0" w:color="auto"/>
            </w:tcBorders>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0,469</w:t>
            </w:r>
          </w:p>
        </w:tc>
      </w:tr>
      <w:tr w:rsidR="00171D1D" w:rsidRPr="00592BA7" w:rsidTr="00592BA7">
        <w:trPr>
          <w:jc w:val="center"/>
        </w:trPr>
        <w:tc>
          <w:tcPr>
            <w:tcW w:w="3679" w:type="pct"/>
            <w:tcBorders>
              <w:top w:val="single" w:sz="4" w:space="0" w:color="auto"/>
              <w:bottom w:val="single" w:sz="4" w:space="0" w:color="auto"/>
              <w:right w:val="single" w:sz="4" w:space="0" w:color="auto"/>
            </w:tcBorders>
            <w:tcMar>
              <w:left w:w="11" w:type="dxa"/>
              <w:right w:w="11"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вентиляция, Гкал/ч</w:t>
            </w:r>
          </w:p>
        </w:tc>
        <w:tc>
          <w:tcPr>
            <w:tcW w:w="661" w:type="pct"/>
            <w:tcBorders>
              <w:top w:val="single" w:sz="4" w:space="0" w:color="auto"/>
              <w:bottom w:val="single" w:sz="4" w:space="0" w:color="auto"/>
              <w:right w:val="single" w:sz="4" w:space="0" w:color="auto"/>
            </w:tcBorders>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c>
          <w:tcPr>
            <w:tcW w:w="661" w:type="pct"/>
            <w:tcBorders>
              <w:top w:val="single" w:sz="4" w:space="0" w:color="auto"/>
              <w:left w:val="single" w:sz="4" w:space="0" w:color="auto"/>
              <w:bottom w:val="single" w:sz="4" w:space="0" w:color="auto"/>
              <w:right w:val="single" w:sz="4" w:space="0" w:color="auto"/>
            </w:tcBorders>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r>
      <w:tr w:rsidR="00171D1D" w:rsidRPr="00592BA7" w:rsidTr="00592BA7">
        <w:trPr>
          <w:jc w:val="center"/>
        </w:trPr>
        <w:tc>
          <w:tcPr>
            <w:tcW w:w="3679" w:type="pct"/>
            <w:tcBorders>
              <w:top w:val="single" w:sz="4" w:space="0" w:color="auto"/>
              <w:bottom w:val="single" w:sz="4" w:space="0" w:color="auto"/>
              <w:right w:val="single" w:sz="4" w:space="0" w:color="auto"/>
            </w:tcBorders>
            <w:tcMar>
              <w:left w:w="11" w:type="dxa"/>
              <w:right w:w="11"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горячее водоснабжение, Гкал/ч</w:t>
            </w:r>
          </w:p>
        </w:tc>
        <w:tc>
          <w:tcPr>
            <w:tcW w:w="661" w:type="pct"/>
            <w:tcBorders>
              <w:top w:val="single" w:sz="4" w:space="0" w:color="auto"/>
              <w:bottom w:val="single" w:sz="4" w:space="0" w:color="auto"/>
              <w:right w:val="single" w:sz="4" w:space="0" w:color="auto"/>
            </w:tcBorders>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c>
          <w:tcPr>
            <w:tcW w:w="661" w:type="pct"/>
            <w:tcBorders>
              <w:top w:val="single" w:sz="4" w:space="0" w:color="auto"/>
              <w:left w:val="single" w:sz="4" w:space="0" w:color="auto"/>
              <w:bottom w:val="single" w:sz="4" w:space="0" w:color="auto"/>
              <w:right w:val="single" w:sz="4" w:space="0" w:color="auto"/>
            </w:tcBorders>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r>
      <w:tr w:rsidR="00171D1D" w:rsidRPr="00592BA7" w:rsidTr="00592BA7">
        <w:trPr>
          <w:jc w:val="center"/>
        </w:trPr>
        <w:tc>
          <w:tcPr>
            <w:tcW w:w="3679" w:type="pct"/>
            <w:tcBorders>
              <w:top w:val="single" w:sz="4" w:space="0" w:color="auto"/>
              <w:bottom w:val="single" w:sz="4" w:space="0" w:color="auto"/>
              <w:right w:val="single" w:sz="4" w:space="0" w:color="auto"/>
            </w:tcBorders>
            <w:tcMar>
              <w:left w:w="11" w:type="dxa"/>
              <w:right w:w="11"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Резерв/дефицит тепловой мощности (по договорной нагрузке), Гкал/ч</w:t>
            </w:r>
          </w:p>
        </w:tc>
        <w:tc>
          <w:tcPr>
            <w:tcW w:w="661" w:type="pct"/>
            <w:tcBorders>
              <w:top w:val="single" w:sz="4" w:space="0" w:color="auto"/>
              <w:bottom w:val="single" w:sz="4" w:space="0" w:color="auto"/>
              <w:right w:val="single" w:sz="4" w:space="0" w:color="auto"/>
            </w:tcBorders>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0,392</w:t>
            </w:r>
          </w:p>
        </w:tc>
        <w:tc>
          <w:tcPr>
            <w:tcW w:w="661" w:type="pct"/>
            <w:tcBorders>
              <w:top w:val="single" w:sz="4" w:space="0" w:color="auto"/>
              <w:left w:val="single" w:sz="4" w:space="0" w:color="auto"/>
              <w:bottom w:val="single" w:sz="4" w:space="0" w:color="auto"/>
              <w:right w:val="single" w:sz="4" w:space="0" w:color="auto"/>
            </w:tcBorders>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0,027</w:t>
            </w:r>
          </w:p>
        </w:tc>
      </w:tr>
      <w:tr w:rsidR="00171D1D" w:rsidRPr="00592BA7" w:rsidTr="00592BA7">
        <w:trPr>
          <w:jc w:val="center"/>
        </w:trPr>
        <w:tc>
          <w:tcPr>
            <w:tcW w:w="3679" w:type="pct"/>
            <w:tcBorders>
              <w:top w:val="single" w:sz="4" w:space="0" w:color="auto"/>
              <w:bottom w:val="single" w:sz="4" w:space="0" w:color="auto"/>
              <w:right w:val="single" w:sz="4" w:space="0" w:color="auto"/>
            </w:tcBorders>
            <w:tcMar>
              <w:left w:w="11" w:type="dxa"/>
              <w:right w:w="11"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Резерв/дефицит тепловой мощности (по расчетной нагрузке), Гкал/ч</w:t>
            </w:r>
          </w:p>
        </w:tc>
        <w:tc>
          <w:tcPr>
            <w:tcW w:w="661" w:type="pct"/>
            <w:tcBorders>
              <w:top w:val="single" w:sz="4" w:space="0" w:color="auto"/>
              <w:bottom w:val="single" w:sz="4" w:space="0" w:color="auto"/>
              <w:right w:val="single" w:sz="4" w:space="0" w:color="auto"/>
            </w:tcBorders>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0,392</w:t>
            </w:r>
          </w:p>
        </w:tc>
        <w:tc>
          <w:tcPr>
            <w:tcW w:w="661" w:type="pct"/>
            <w:tcBorders>
              <w:top w:val="single" w:sz="4" w:space="0" w:color="auto"/>
              <w:left w:val="single" w:sz="4" w:space="0" w:color="auto"/>
              <w:bottom w:val="single" w:sz="4" w:space="0" w:color="auto"/>
              <w:right w:val="single" w:sz="4" w:space="0" w:color="auto"/>
            </w:tcBorders>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0,027</w:t>
            </w:r>
          </w:p>
        </w:tc>
      </w:tr>
      <w:tr w:rsidR="00171D1D" w:rsidRPr="00592BA7" w:rsidTr="00592BA7">
        <w:trPr>
          <w:jc w:val="center"/>
        </w:trPr>
        <w:tc>
          <w:tcPr>
            <w:tcW w:w="3679" w:type="pct"/>
            <w:tcBorders>
              <w:top w:val="single" w:sz="4" w:space="0" w:color="auto"/>
              <w:bottom w:val="single" w:sz="4" w:space="0" w:color="auto"/>
              <w:right w:val="single" w:sz="4" w:space="0" w:color="auto"/>
            </w:tcBorders>
            <w:tcMar>
              <w:left w:w="11" w:type="dxa"/>
              <w:right w:w="11"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Располагаемая тепловая мощность нетто (с учетом затрат на собственные нужды) при аварийном выводе самого мощного котла, Гкал/ч</w:t>
            </w:r>
          </w:p>
        </w:tc>
        <w:tc>
          <w:tcPr>
            <w:tcW w:w="661" w:type="pct"/>
            <w:tcBorders>
              <w:top w:val="single" w:sz="4" w:space="0" w:color="auto"/>
              <w:bottom w:val="single" w:sz="4" w:space="0" w:color="auto"/>
              <w:right w:val="single" w:sz="4" w:space="0" w:color="auto"/>
            </w:tcBorders>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0,688</w:t>
            </w:r>
          </w:p>
        </w:tc>
        <w:tc>
          <w:tcPr>
            <w:tcW w:w="661" w:type="pct"/>
            <w:tcBorders>
              <w:top w:val="single" w:sz="4" w:space="0" w:color="auto"/>
              <w:left w:val="single" w:sz="4" w:space="0" w:color="auto"/>
              <w:bottom w:val="single" w:sz="4" w:space="0" w:color="auto"/>
              <w:right w:val="single" w:sz="4" w:space="0" w:color="auto"/>
            </w:tcBorders>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0,258</w:t>
            </w:r>
          </w:p>
        </w:tc>
      </w:tr>
      <w:tr w:rsidR="00171D1D" w:rsidRPr="00592BA7" w:rsidTr="00592BA7">
        <w:trPr>
          <w:jc w:val="center"/>
        </w:trPr>
        <w:tc>
          <w:tcPr>
            <w:tcW w:w="3679" w:type="pct"/>
            <w:tcBorders>
              <w:top w:val="single" w:sz="4" w:space="0" w:color="auto"/>
              <w:bottom w:val="single" w:sz="4" w:space="0" w:color="auto"/>
              <w:right w:val="single" w:sz="4" w:space="0" w:color="auto"/>
            </w:tcBorders>
            <w:tcMar>
              <w:left w:w="11" w:type="dxa"/>
              <w:right w:w="11"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Максимально допустимое значение тепловой нагрузки на коллекторах котельной при аварийном выводе самого мощного пикового котла/турбоагрегата, Гкал/ч</w:t>
            </w:r>
          </w:p>
        </w:tc>
        <w:tc>
          <w:tcPr>
            <w:tcW w:w="661" w:type="pct"/>
            <w:tcBorders>
              <w:top w:val="single" w:sz="4" w:space="0" w:color="auto"/>
              <w:bottom w:val="single" w:sz="4" w:space="0" w:color="auto"/>
              <w:right w:val="single" w:sz="4" w:space="0" w:color="auto"/>
            </w:tcBorders>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0,688</w:t>
            </w:r>
          </w:p>
        </w:tc>
        <w:tc>
          <w:tcPr>
            <w:tcW w:w="661" w:type="pct"/>
            <w:tcBorders>
              <w:top w:val="single" w:sz="4" w:space="0" w:color="auto"/>
              <w:left w:val="single" w:sz="4" w:space="0" w:color="auto"/>
              <w:bottom w:val="single" w:sz="4" w:space="0" w:color="auto"/>
              <w:right w:val="single" w:sz="4" w:space="0" w:color="auto"/>
            </w:tcBorders>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0,258</w:t>
            </w:r>
          </w:p>
        </w:tc>
      </w:tr>
      <w:bookmarkEnd w:id="2"/>
    </w:tbl>
    <w:p w:rsidR="00171D1D" w:rsidRPr="00592BA7" w:rsidRDefault="00171D1D" w:rsidP="00592BA7">
      <w:pPr>
        <w:jc w:val="both"/>
        <w:rPr>
          <w:rFonts w:ascii="Times New Roman" w:hAnsi="Times New Roman" w:cs="Times New Roman"/>
          <w:sz w:val="20"/>
          <w:szCs w:val="20"/>
        </w:rPr>
      </w:pP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3.2.2.5. Анализ показателей готовности системы теплоснабжения, имеющиеся проблемы и направления их решения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Оценка надежности теплоснабжения разрабатывается в соответствии с подпунктом «и» пункта 19 и пункта 46 «Требований к схемам теплоснабжения». Нормативные требования к надѐжности теплоснабжения установлены в СНиП 41.02.2003 «Тепловые сети» в части пунктов 6.27-6.31 раздела «Надежность».</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В СНиП надежность теплоснабжения определяется по способности проектируемых и действующих источников теплоты, тепловых сетей и в целом систем централизованного теплоснабжения обеспечивать в течение заданного времени требуемые режимы, параметры и качество теплоснабжения (отопления, вентиляции, горячего водоснабжения, а также технологических потребностей предприятий в паре и горячей воде) обеспечивать нормативные показатели вероятности безотказной работы [Р], коэффициент готовности [Кг], живучести [Ж]. Расчет показателей системы с учетом надежности должен производиться для каждого потребителя.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При этом минимально допустимые показатели вероятности безотказной работы следует принимать для котельной, представленных в таблице 3.2.2.5.1.</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Таблица 3.2.2.5.1. </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Показатели вероятности безотказной работы</w:t>
      </w:r>
    </w:p>
    <w:tbl>
      <w:tblPr>
        <w:tblW w:w="0" w:type="auto"/>
        <w:tblLook w:val="04A0" w:firstRow="1" w:lastRow="0" w:firstColumn="1" w:lastColumn="0" w:noHBand="0" w:noVBand="1"/>
      </w:tblPr>
      <w:tblGrid>
        <w:gridCol w:w="846"/>
        <w:gridCol w:w="4961"/>
        <w:gridCol w:w="3820"/>
      </w:tblGrid>
      <w:tr w:rsidR="00171D1D" w:rsidRPr="00592BA7" w:rsidTr="00592BA7">
        <w:tc>
          <w:tcPr>
            <w:tcW w:w="846"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п/п</w:t>
            </w:r>
          </w:p>
        </w:tc>
        <w:tc>
          <w:tcPr>
            <w:tcW w:w="4961"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Наименование источников тепловой энергии</w:t>
            </w:r>
          </w:p>
        </w:tc>
        <w:tc>
          <w:tcPr>
            <w:tcW w:w="3820"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Результат расчета показателя надежности</w:t>
            </w:r>
          </w:p>
        </w:tc>
      </w:tr>
      <w:tr w:rsidR="00171D1D" w:rsidRPr="00592BA7" w:rsidTr="00592BA7">
        <w:trPr>
          <w:trHeight w:val="136"/>
        </w:trPr>
        <w:tc>
          <w:tcPr>
            <w:tcW w:w="846"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w:t>
            </w:r>
          </w:p>
        </w:tc>
        <w:tc>
          <w:tcPr>
            <w:tcW w:w="4961"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Котельная с. Юманай</w:t>
            </w:r>
          </w:p>
        </w:tc>
        <w:tc>
          <w:tcPr>
            <w:tcW w:w="3820"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надежный</w:t>
            </w:r>
          </w:p>
        </w:tc>
      </w:tr>
      <w:tr w:rsidR="00171D1D" w:rsidRPr="00592BA7" w:rsidTr="00592BA7">
        <w:tc>
          <w:tcPr>
            <w:tcW w:w="846"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w:t>
            </w:r>
          </w:p>
        </w:tc>
        <w:tc>
          <w:tcPr>
            <w:tcW w:w="4961"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Котельная с. Русские Алгаши</w:t>
            </w:r>
          </w:p>
        </w:tc>
        <w:tc>
          <w:tcPr>
            <w:tcW w:w="3820"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надежный</w:t>
            </w:r>
          </w:p>
        </w:tc>
      </w:tr>
    </w:tbl>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3.2.2.6. Воздействие на окружающую среду, имеющиеся проблемы и направления их решения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Воздействие системы теплоснабжения на окружающую среду осуществляется по нескольким направлениям:</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выбросы вредных веществ в атмосферу;</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использование природных ресурсов в технологическом процессе (вода);</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тепловое загрязнение (потери тепловой энергии в теплосетях, тепловые выбросы источниками тепловой энергии).</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Из перечисленных видов вредного воздействия на окружающую среду наиболее существенное влияние оказывают выбросы вредных веществ в атмосферу, которые производятся котельными.</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Для определения влияния функционирования систем теплоснабжения на окружающую среду устанавливают предельно допустимые выбросы вредных веществ предприятиями в атмосферу.</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3.2.3. Анализ финансового состояния организаций коммунального комплекса, тарифов на коммунальные ресурсы</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В настоящее время потребители тепловой энергии на территории Шумерлинского муниципального округа приобретают тепловую энергию у теплоснабжающих организаций по заключенным договорам на теплоснабжение. В соответствии с требованиями Федерального Закона Российской Федерации от 27.07.2010 №190-ФЗ «О теплоснабжении»:</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потребители тепловой энергии, в том числе застройщики, планирующие подключение к системе теплоснабжения, заключают договоры о подключении к системе теплоснабжения и вносят плату за подключение к системе теплоснабжения...»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Порядок подключения к системам теплоснабжения установлен «Правилами подключения к системам теплоснабжения», утвержденными Постановлением Правительства Российской Федерации от 5 июля 2018 года N 787 (с изменениями на 30 января 2021 года) «О подключении (технологическом присоединении) к системам теплоснабжения, недискриминационном доступе к услугам в сфере теплоснабжения, изменении и признании утратившими силу некоторых актов Правительства Российской Федерации» (вместе с "Правилами подключения (технологического присоединения) к системам теплоснабжения, включая правила недискриминационного доступа к услугам по подключению (технологическому присоединению) к системам теплоснабжения", "Правилами недискриминационного доступа к услугам по передаче тепловой энергии, теплоносителя")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Плата за подключение к системе теплоснабжения МУП «Юманайское ЖКХ» не взымается.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Тарифы на тепловую энергию:</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Таблица 3.2.3.1</w:t>
      </w:r>
    </w:p>
    <w:tbl>
      <w:tblPr>
        <w:tblW w:w="4999" w:type="pct"/>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77"/>
        <w:gridCol w:w="1233"/>
        <w:gridCol w:w="1233"/>
        <w:gridCol w:w="1233"/>
        <w:gridCol w:w="1519"/>
        <w:gridCol w:w="1456"/>
      </w:tblGrid>
      <w:tr w:rsidR="00171D1D" w:rsidRPr="00592BA7" w:rsidTr="00592BA7">
        <w:trPr>
          <w:trHeight w:val="315"/>
        </w:trPr>
        <w:tc>
          <w:tcPr>
            <w:tcW w:w="1612" w:type="pct"/>
            <w:shd w:val="clear" w:color="auto" w:fill="auto"/>
            <w:noWrap/>
            <w:vAlign w:val="bottom"/>
            <w:hideMark/>
          </w:tcPr>
          <w:p w:rsidR="00171D1D" w:rsidRPr="00592BA7" w:rsidRDefault="00171D1D" w:rsidP="00592BA7">
            <w:pPr>
              <w:jc w:val="both"/>
              <w:rPr>
                <w:rFonts w:ascii="Times New Roman" w:hAnsi="Times New Roman" w:cs="Times New Roman"/>
                <w:sz w:val="20"/>
                <w:szCs w:val="20"/>
                <w:lang w:eastAsia="ru-RU"/>
              </w:rPr>
            </w:pPr>
          </w:p>
        </w:tc>
        <w:tc>
          <w:tcPr>
            <w:tcW w:w="3388" w:type="pct"/>
            <w:gridSpan w:val="5"/>
            <w:shd w:val="clear" w:color="auto" w:fill="auto"/>
            <w:vAlign w:val="bottom"/>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руб. за 1 Гкал с учетом НДС</w:t>
            </w:r>
          </w:p>
        </w:tc>
      </w:tr>
      <w:tr w:rsidR="00171D1D" w:rsidRPr="00592BA7" w:rsidTr="00592BA7">
        <w:trPr>
          <w:trHeight w:val="600"/>
        </w:trPr>
        <w:tc>
          <w:tcPr>
            <w:tcW w:w="1612" w:type="pct"/>
            <w:vMerge w:val="restart"/>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Наименование регулируемой организации</w:t>
            </w:r>
          </w:p>
        </w:tc>
        <w:tc>
          <w:tcPr>
            <w:tcW w:w="626" w:type="pct"/>
            <w:vMerge w:val="restart"/>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Тарифы на 31.12.2023</w:t>
            </w:r>
          </w:p>
        </w:tc>
        <w:tc>
          <w:tcPr>
            <w:tcW w:w="626" w:type="pct"/>
            <w:vMerge w:val="restart"/>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Тарифы с 01.01.2024 по 30.06.2024</w:t>
            </w:r>
          </w:p>
        </w:tc>
        <w:tc>
          <w:tcPr>
            <w:tcW w:w="626" w:type="pct"/>
            <w:vMerge w:val="restart"/>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Тарифы с 01.07.2024 по 31.12.2024</w:t>
            </w:r>
          </w:p>
        </w:tc>
        <w:tc>
          <w:tcPr>
            <w:tcW w:w="771" w:type="pct"/>
            <w:vMerge w:val="restart"/>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Изменение тарифа с 01.01.2024 к 31.12.2023, в %</w:t>
            </w:r>
          </w:p>
        </w:tc>
        <w:tc>
          <w:tcPr>
            <w:tcW w:w="737" w:type="pct"/>
            <w:vMerge w:val="restart"/>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Изменение тарифа с 01.07.2024 к 30.06.2024, в %</w:t>
            </w:r>
          </w:p>
        </w:tc>
      </w:tr>
      <w:tr w:rsidR="00171D1D" w:rsidRPr="00592BA7" w:rsidTr="00592BA7">
        <w:trPr>
          <w:trHeight w:val="517"/>
        </w:trPr>
        <w:tc>
          <w:tcPr>
            <w:tcW w:w="1612" w:type="pct"/>
            <w:vMerge/>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626" w:type="pct"/>
            <w:vMerge/>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626" w:type="pct"/>
            <w:vMerge/>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626" w:type="pct"/>
            <w:vMerge/>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771" w:type="pct"/>
            <w:vMerge/>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737" w:type="pct"/>
            <w:vMerge/>
            <w:vAlign w:val="center"/>
            <w:hideMark/>
          </w:tcPr>
          <w:p w:rsidR="00171D1D" w:rsidRPr="00592BA7" w:rsidRDefault="00171D1D" w:rsidP="00592BA7">
            <w:pPr>
              <w:jc w:val="both"/>
              <w:rPr>
                <w:rFonts w:ascii="Times New Roman" w:hAnsi="Times New Roman" w:cs="Times New Roman"/>
                <w:sz w:val="20"/>
                <w:szCs w:val="20"/>
                <w:lang w:eastAsia="ru-RU"/>
              </w:rPr>
            </w:pPr>
          </w:p>
        </w:tc>
      </w:tr>
      <w:tr w:rsidR="00171D1D" w:rsidRPr="00592BA7" w:rsidTr="00592BA7">
        <w:trPr>
          <w:trHeight w:val="300"/>
        </w:trPr>
        <w:tc>
          <w:tcPr>
            <w:tcW w:w="1612" w:type="pct"/>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rPr>
              <w:t>МУП «Юманайское ЖКХ»</w:t>
            </w:r>
          </w:p>
        </w:tc>
        <w:tc>
          <w:tcPr>
            <w:tcW w:w="626"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1 999,42</w:t>
            </w:r>
          </w:p>
        </w:tc>
        <w:tc>
          <w:tcPr>
            <w:tcW w:w="626" w:type="pct"/>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1968,14</w:t>
            </w:r>
          </w:p>
        </w:tc>
        <w:tc>
          <w:tcPr>
            <w:tcW w:w="626" w:type="pct"/>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2143,08</w:t>
            </w:r>
          </w:p>
        </w:tc>
        <w:tc>
          <w:tcPr>
            <w:tcW w:w="771" w:type="pct"/>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98,44</w:t>
            </w:r>
          </w:p>
        </w:tc>
        <w:tc>
          <w:tcPr>
            <w:tcW w:w="737" w:type="pct"/>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108,89</w:t>
            </w:r>
          </w:p>
        </w:tc>
      </w:tr>
    </w:tbl>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Нормативы потребления коммунальной услуги по отоплению утверждены согласно постановлению, Кабинет министров Чувашской Республики от 26 июня 2014 года N 211 «Об утверждении норматива потребления коммунальной услуги по отоплению в жилых помещениях на территории Чувашской Республики и о внесении изменений в постановление кабинета министров Чувашской Республики от 4 сентября 2012 г. N 370», (в редакции Постановлений Кабинета Министров Чувашской Республики от 28.01.2015 N 7, от 11.08.2016 N 319).</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Таблица 3.2.3.2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3440"/>
        <w:gridCol w:w="1294"/>
        <w:gridCol w:w="1294"/>
        <w:gridCol w:w="1439"/>
        <w:gridCol w:w="1146"/>
        <w:gridCol w:w="1148"/>
      </w:tblGrid>
      <w:tr w:rsidR="00171D1D" w:rsidRPr="00592BA7" w:rsidTr="00592BA7">
        <w:trPr>
          <w:trHeight w:val="278"/>
        </w:trPr>
        <w:tc>
          <w:tcPr>
            <w:tcW w:w="1762" w:type="pct"/>
            <w:vMerge w:val="restar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Наименование муниципального округа</w:t>
            </w:r>
          </w:p>
        </w:tc>
        <w:tc>
          <w:tcPr>
            <w:tcW w:w="3238" w:type="pct"/>
            <w:gridSpan w:val="5"/>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Норматив потребления коммунальной услуги по отоплению в жилых помещениях, Гкал на 1 кв. м общей площади всех помещений в многоквартирном доме или жилого дома в месяц</w:t>
            </w:r>
          </w:p>
        </w:tc>
      </w:tr>
      <w:tr w:rsidR="00171D1D" w:rsidRPr="00592BA7" w:rsidTr="00592BA7">
        <w:trPr>
          <w:trHeight w:val="20"/>
        </w:trPr>
        <w:tc>
          <w:tcPr>
            <w:tcW w:w="1762" w:type="pct"/>
            <w:vMerge/>
            <w:vAlign w:val="center"/>
          </w:tcPr>
          <w:p w:rsidR="00171D1D" w:rsidRPr="00592BA7" w:rsidRDefault="00171D1D" w:rsidP="00592BA7">
            <w:pPr>
              <w:jc w:val="both"/>
              <w:rPr>
                <w:rFonts w:ascii="Times New Roman" w:hAnsi="Times New Roman" w:cs="Times New Roman"/>
                <w:sz w:val="20"/>
                <w:szCs w:val="20"/>
              </w:rPr>
            </w:pPr>
          </w:p>
        </w:tc>
        <w:tc>
          <w:tcPr>
            <w:tcW w:w="3238" w:type="pct"/>
            <w:gridSpan w:val="5"/>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этажность</w:t>
            </w:r>
          </w:p>
        </w:tc>
      </w:tr>
      <w:tr w:rsidR="00171D1D" w:rsidRPr="00592BA7" w:rsidTr="00592BA7">
        <w:trPr>
          <w:trHeight w:val="26"/>
        </w:trPr>
        <w:tc>
          <w:tcPr>
            <w:tcW w:w="1762" w:type="pct"/>
            <w:vMerge/>
            <w:vAlign w:val="center"/>
          </w:tcPr>
          <w:p w:rsidR="00171D1D" w:rsidRPr="00592BA7" w:rsidRDefault="00171D1D" w:rsidP="00592BA7">
            <w:pPr>
              <w:jc w:val="both"/>
              <w:rPr>
                <w:rFonts w:ascii="Times New Roman" w:hAnsi="Times New Roman" w:cs="Times New Roman"/>
                <w:sz w:val="20"/>
                <w:szCs w:val="20"/>
              </w:rPr>
            </w:pPr>
          </w:p>
        </w:tc>
        <w:tc>
          <w:tcPr>
            <w:tcW w:w="663"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w:t>
            </w:r>
          </w:p>
        </w:tc>
        <w:tc>
          <w:tcPr>
            <w:tcW w:w="663"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w:t>
            </w:r>
          </w:p>
        </w:tc>
        <w:tc>
          <w:tcPr>
            <w:tcW w:w="737"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w:t>
            </w:r>
          </w:p>
        </w:tc>
        <w:tc>
          <w:tcPr>
            <w:tcW w:w="587"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4</w:t>
            </w:r>
          </w:p>
        </w:tc>
        <w:tc>
          <w:tcPr>
            <w:tcW w:w="587"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5</w:t>
            </w:r>
          </w:p>
        </w:tc>
      </w:tr>
      <w:tr w:rsidR="00171D1D" w:rsidRPr="00592BA7" w:rsidTr="00592BA7">
        <w:tc>
          <w:tcPr>
            <w:tcW w:w="5000" w:type="pct"/>
            <w:gridSpan w:val="6"/>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Многоквартирные дома до 1999 года постройки</w:t>
            </w:r>
          </w:p>
        </w:tc>
      </w:tr>
      <w:tr w:rsidR="00171D1D" w:rsidRPr="00592BA7" w:rsidTr="00592BA7">
        <w:tc>
          <w:tcPr>
            <w:tcW w:w="1762"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Шумерлинский</w:t>
            </w:r>
          </w:p>
        </w:tc>
        <w:tc>
          <w:tcPr>
            <w:tcW w:w="663"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0,0484</w:t>
            </w:r>
          </w:p>
        </w:tc>
        <w:tc>
          <w:tcPr>
            <w:tcW w:w="663"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0,0282</w:t>
            </w:r>
          </w:p>
        </w:tc>
        <w:tc>
          <w:tcPr>
            <w:tcW w:w="737"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0,0283</w:t>
            </w:r>
          </w:p>
        </w:tc>
        <w:tc>
          <w:tcPr>
            <w:tcW w:w="587"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0,0284</w:t>
            </w:r>
          </w:p>
        </w:tc>
        <w:tc>
          <w:tcPr>
            <w:tcW w:w="587"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0,0247</w:t>
            </w:r>
          </w:p>
        </w:tc>
      </w:tr>
      <w:tr w:rsidR="00171D1D" w:rsidRPr="00592BA7" w:rsidTr="00592BA7">
        <w:tc>
          <w:tcPr>
            <w:tcW w:w="5000" w:type="pct"/>
            <w:gridSpan w:val="6"/>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Многоквартирные дома после 1999 года постройки</w:t>
            </w:r>
          </w:p>
        </w:tc>
      </w:tr>
      <w:tr w:rsidR="00171D1D" w:rsidRPr="00592BA7" w:rsidTr="00592BA7">
        <w:tc>
          <w:tcPr>
            <w:tcW w:w="1762"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Шумерлинский</w:t>
            </w:r>
          </w:p>
        </w:tc>
        <w:tc>
          <w:tcPr>
            <w:tcW w:w="663"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0,0178</w:t>
            </w:r>
          </w:p>
        </w:tc>
        <w:tc>
          <w:tcPr>
            <w:tcW w:w="663"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0,0159</w:t>
            </w:r>
          </w:p>
        </w:tc>
        <w:tc>
          <w:tcPr>
            <w:tcW w:w="737"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0,0165</w:t>
            </w:r>
          </w:p>
        </w:tc>
        <w:tc>
          <w:tcPr>
            <w:tcW w:w="587" w:type="pct"/>
            <w:vAlign w:val="center"/>
          </w:tcPr>
          <w:p w:rsidR="00171D1D" w:rsidRPr="00592BA7" w:rsidRDefault="00171D1D" w:rsidP="00592BA7">
            <w:pPr>
              <w:jc w:val="both"/>
              <w:rPr>
                <w:rFonts w:ascii="Times New Roman" w:hAnsi="Times New Roman" w:cs="Times New Roman"/>
                <w:sz w:val="20"/>
                <w:szCs w:val="20"/>
                <w:lang w:eastAsia="ru-RU"/>
              </w:rPr>
            </w:pPr>
          </w:p>
        </w:tc>
        <w:tc>
          <w:tcPr>
            <w:tcW w:w="587"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0,0141</w:t>
            </w:r>
          </w:p>
        </w:tc>
      </w:tr>
    </w:tbl>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3.3. Система газоснабжения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3.3.1. Описание организационной структуры, формы собственности и системы договоров между организациями, а также с потребителями</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Газоснабжение Шумерлинского муниципального округа представляет собой сложный комплекс технологических и инженерных сооружений и развивается в основном на базе природного газа. Организационная структура системы газоснабжения Чувашской Республики основана на совместной деятельности предприятия-поставщика в регион природного газа, газотранспортной организации осуществляющей транспортировку газа в регион по магистральным газопроводам, а также газораспределительной организации, транспортирующей газ конечным потребителям по местным газовым сетям. Указанные организации осуществляют взаимодействие на основании заключённых трёхсторонних технических соглашений, а также иных договоров. Реализация природного газа осуществляется на основании договоров поставки (купли – продажи) между поставщиком и конечными потребителями. Газораспределительная организация осуществляет договорную работу в процессе газификации населённых пунктов региона (при строительстве газовых сетей и подключении газоиспользующего оборудования к данным газораспределительным сетям, а также в процессе их дальнейшего технического обслуживания). </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АО «Газпром газораспределение Чебоксары» является газораспределительной организацией по транспортировке природного газа по распределительным сетям до потребителей Чувашской Республики и эксплуатации объектов газового хозяйства.</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Сети и сооружения системы газораспределения Шумерлинского муниципального округа находятся в эксплуатации филиала АО «Газпром газораспределение Чебоксары» по адресу: г. Шумерля ул. Коммунальная, 3. </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Направления использования газа: </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 промышленные и коммунально-бытовые потребители, котельные; </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бытовые нужды населения (приготовление пищи и горячей воды).</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В муниципальном округе договоры газоснабжения заключаются с абонентами: собственниками помещений в многоквартирных жилых домах, нанимателями помещений в многоквартирных жилых домах, собственниками индивидуальных жилых домов, предприятиями. Договоры на услугу газоснабжения заключаются в соответствии с требованиями, относящимися к публичным договорам и договорам энергоснабжения (статьи 426, 539 - 548 Гражданского кодекса Российской Федерации).</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3.3.2. Анализ существующего технического состояния системы газоснабжения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3.3.2.1. Анализ эффективности и надежности имеющихся источников газоснабжения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Газоснабжение населенных пунктов Шумерлинского муниципального округа осуществляется от магистрального газопровода Уренгой-Ужгород.</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Поставка газа потребителям Шумерлинского муниципального округа производится через 2 газораспределительные станции: ГРС Шумерля и ГРС Юманай.</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Таблица 3.3.2.1.1</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Сведения о загрузке ГРС Шумерлинского муниципального округа</w:t>
      </w:r>
    </w:p>
    <w:tbl>
      <w:tblPr>
        <w:tblW w:w="4977" w:type="pct"/>
        <w:tblInd w:w="108" w:type="dxa"/>
        <w:tblLayout w:type="fixed"/>
        <w:tblLook w:val="0000" w:firstRow="0" w:lastRow="0" w:firstColumn="0" w:lastColumn="0" w:noHBand="0" w:noVBand="0"/>
      </w:tblPr>
      <w:tblGrid>
        <w:gridCol w:w="586"/>
        <w:gridCol w:w="2346"/>
        <w:gridCol w:w="2321"/>
        <w:gridCol w:w="1185"/>
        <w:gridCol w:w="1587"/>
        <w:gridCol w:w="1783"/>
      </w:tblGrid>
      <w:tr w:rsidR="00171D1D" w:rsidRPr="00592BA7" w:rsidTr="00592BA7">
        <w:trPr>
          <w:trHeight w:val="1242"/>
          <w:tblHeader/>
        </w:trPr>
        <w:tc>
          <w:tcPr>
            <w:tcW w:w="572" w:type="dxa"/>
            <w:tcBorders>
              <w:top w:val="single" w:sz="4" w:space="0" w:color="000000"/>
              <w:left w:val="single" w:sz="4" w:space="0" w:color="000000"/>
              <w:bottom w:val="single" w:sz="4" w:space="0" w:color="000000"/>
            </w:tcBorders>
            <w:shd w:val="clear" w:color="auto" w:fill="FFFFFF"/>
            <w:vAlign w:val="center"/>
          </w:tcPr>
          <w:p w:rsidR="00171D1D" w:rsidRPr="00592BA7" w:rsidRDefault="00171D1D" w:rsidP="00592BA7">
            <w:pPr>
              <w:jc w:val="both"/>
              <w:rPr>
                <w:rFonts w:ascii="Times New Roman" w:hAnsi="Times New Roman" w:cs="Times New Roman"/>
                <w:sz w:val="20"/>
                <w:szCs w:val="20"/>
                <w:lang w:eastAsia="zh-CN"/>
              </w:rPr>
            </w:pPr>
            <w:r w:rsidRPr="00592BA7">
              <w:rPr>
                <w:rFonts w:ascii="Times New Roman" w:hAnsi="Times New Roman" w:cs="Times New Roman"/>
                <w:sz w:val="20"/>
                <w:szCs w:val="20"/>
              </w:rPr>
              <w:t>№ п/п</w:t>
            </w:r>
          </w:p>
        </w:tc>
        <w:tc>
          <w:tcPr>
            <w:tcW w:w="2292" w:type="dxa"/>
            <w:tcBorders>
              <w:top w:val="single" w:sz="4" w:space="0" w:color="000000"/>
              <w:left w:val="single" w:sz="4" w:space="0" w:color="000000"/>
              <w:bottom w:val="single" w:sz="4" w:space="0" w:color="000000"/>
            </w:tcBorders>
            <w:shd w:val="clear" w:color="auto" w:fill="FFFFFF"/>
            <w:vAlign w:val="center"/>
          </w:tcPr>
          <w:p w:rsidR="00171D1D" w:rsidRPr="00592BA7" w:rsidRDefault="00171D1D" w:rsidP="00592BA7">
            <w:pPr>
              <w:jc w:val="both"/>
              <w:rPr>
                <w:rFonts w:ascii="Times New Roman" w:hAnsi="Times New Roman" w:cs="Times New Roman"/>
                <w:sz w:val="20"/>
                <w:szCs w:val="20"/>
                <w:lang w:eastAsia="zh-CN"/>
              </w:rPr>
            </w:pPr>
            <w:r w:rsidRPr="00592BA7">
              <w:rPr>
                <w:rFonts w:ascii="Times New Roman" w:hAnsi="Times New Roman" w:cs="Times New Roman"/>
                <w:sz w:val="20"/>
                <w:szCs w:val="20"/>
              </w:rPr>
              <w:t>Наименование ГРС</w:t>
            </w:r>
          </w:p>
        </w:tc>
        <w:tc>
          <w:tcPr>
            <w:tcW w:w="2268" w:type="dxa"/>
            <w:tcBorders>
              <w:top w:val="single" w:sz="4" w:space="0" w:color="000000"/>
              <w:left w:val="single" w:sz="4" w:space="0" w:color="000000"/>
              <w:bottom w:val="single" w:sz="4" w:space="0" w:color="000000"/>
            </w:tcBorders>
            <w:shd w:val="clear" w:color="auto" w:fill="FFFFFF"/>
            <w:vAlign w:val="center"/>
          </w:tcPr>
          <w:p w:rsidR="00171D1D" w:rsidRPr="00592BA7" w:rsidRDefault="00171D1D" w:rsidP="00592BA7">
            <w:pPr>
              <w:jc w:val="both"/>
              <w:rPr>
                <w:rFonts w:ascii="Times New Roman" w:hAnsi="Times New Roman" w:cs="Times New Roman"/>
                <w:sz w:val="20"/>
                <w:szCs w:val="20"/>
                <w:lang w:eastAsia="zh-CN"/>
              </w:rPr>
            </w:pPr>
            <w:r w:rsidRPr="00592BA7">
              <w:rPr>
                <w:rFonts w:ascii="Times New Roman" w:hAnsi="Times New Roman" w:cs="Times New Roman"/>
                <w:sz w:val="20"/>
                <w:szCs w:val="20"/>
              </w:rPr>
              <w:t>Проектная производи</w:t>
            </w:r>
            <w:r w:rsidRPr="00592BA7">
              <w:rPr>
                <w:rFonts w:ascii="Times New Roman" w:hAnsi="Times New Roman" w:cs="Times New Roman"/>
                <w:sz w:val="20"/>
                <w:szCs w:val="20"/>
              </w:rPr>
              <w:softHyphen/>
              <w:t>тельность (технически возможная пропускная способность), ГРС тыс.м3/час</w:t>
            </w:r>
          </w:p>
        </w:tc>
        <w:tc>
          <w:tcPr>
            <w:tcW w:w="1158" w:type="dxa"/>
            <w:tcBorders>
              <w:top w:val="single" w:sz="4" w:space="0" w:color="000000"/>
              <w:left w:val="single" w:sz="4" w:space="0" w:color="000000"/>
              <w:bottom w:val="single" w:sz="4" w:space="0" w:color="000000"/>
            </w:tcBorders>
            <w:shd w:val="clear" w:color="auto" w:fill="FFFFFF"/>
            <w:vAlign w:val="center"/>
          </w:tcPr>
          <w:p w:rsidR="00171D1D" w:rsidRPr="00592BA7" w:rsidRDefault="00171D1D" w:rsidP="00592BA7">
            <w:pPr>
              <w:jc w:val="both"/>
              <w:rPr>
                <w:rFonts w:ascii="Times New Roman" w:hAnsi="Times New Roman" w:cs="Times New Roman"/>
                <w:sz w:val="20"/>
                <w:szCs w:val="20"/>
                <w:lang w:eastAsia="zh-CN"/>
              </w:rPr>
            </w:pPr>
            <w:r w:rsidRPr="00592BA7">
              <w:rPr>
                <w:rFonts w:ascii="Times New Roman" w:hAnsi="Times New Roman" w:cs="Times New Roman"/>
                <w:sz w:val="20"/>
                <w:szCs w:val="20"/>
              </w:rPr>
              <w:t>Загрузка ГРС, тыс.м3/час</w:t>
            </w:r>
          </w:p>
        </w:tc>
        <w:tc>
          <w:tcPr>
            <w:tcW w:w="1551" w:type="dxa"/>
            <w:tcBorders>
              <w:top w:val="single" w:sz="4" w:space="0" w:color="000000"/>
              <w:left w:val="single" w:sz="4" w:space="0" w:color="000000"/>
              <w:bottom w:val="single" w:sz="4" w:space="0" w:color="000000"/>
            </w:tcBorders>
            <w:shd w:val="clear" w:color="auto" w:fill="FFFFFF"/>
            <w:vAlign w:val="center"/>
          </w:tcPr>
          <w:p w:rsidR="00171D1D" w:rsidRPr="00592BA7" w:rsidRDefault="00171D1D" w:rsidP="00592BA7">
            <w:pPr>
              <w:jc w:val="both"/>
              <w:rPr>
                <w:rFonts w:ascii="Times New Roman" w:hAnsi="Times New Roman" w:cs="Times New Roman"/>
                <w:sz w:val="20"/>
                <w:szCs w:val="20"/>
                <w:lang w:eastAsia="zh-CN"/>
              </w:rPr>
            </w:pPr>
            <w:r w:rsidRPr="00592BA7">
              <w:rPr>
                <w:rFonts w:ascii="Times New Roman" w:hAnsi="Times New Roman" w:cs="Times New Roman"/>
                <w:sz w:val="20"/>
                <w:szCs w:val="20"/>
              </w:rPr>
              <w:t>Суммарный объем газа по действу</w:t>
            </w:r>
            <w:r w:rsidRPr="00592BA7">
              <w:rPr>
                <w:rFonts w:ascii="Times New Roman" w:hAnsi="Times New Roman" w:cs="Times New Roman"/>
                <w:sz w:val="20"/>
                <w:szCs w:val="20"/>
              </w:rPr>
              <w:softHyphen/>
              <w:t>ющим ТУ на подключе</w:t>
            </w:r>
            <w:r w:rsidRPr="00592BA7">
              <w:rPr>
                <w:rFonts w:ascii="Times New Roman" w:hAnsi="Times New Roman" w:cs="Times New Roman"/>
                <w:sz w:val="20"/>
                <w:szCs w:val="20"/>
              </w:rPr>
              <w:softHyphen/>
              <w:t>ние, тыс.м3/час</w:t>
            </w:r>
          </w:p>
        </w:tc>
        <w:tc>
          <w:tcPr>
            <w:tcW w:w="17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71D1D" w:rsidRPr="00592BA7" w:rsidRDefault="00171D1D" w:rsidP="00592BA7">
            <w:pPr>
              <w:jc w:val="both"/>
              <w:rPr>
                <w:rFonts w:ascii="Times New Roman" w:hAnsi="Times New Roman" w:cs="Times New Roman"/>
                <w:sz w:val="20"/>
                <w:szCs w:val="20"/>
                <w:lang w:eastAsia="zh-CN"/>
              </w:rPr>
            </w:pPr>
            <w:r w:rsidRPr="00592BA7">
              <w:rPr>
                <w:rFonts w:ascii="Times New Roman" w:hAnsi="Times New Roman" w:cs="Times New Roman"/>
                <w:sz w:val="20"/>
                <w:szCs w:val="20"/>
              </w:rPr>
              <w:t>Наличие свободной пропускной способности с учетом выданных ТУ, тыс.м3/час</w:t>
            </w:r>
          </w:p>
        </w:tc>
      </w:tr>
      <w:tr w:rsidR="00171D1D" w:rsidRPr="00592BA7" w:rsidTr="00592BA7">
        <w:trPr>
          <w:trHeight w:val="375"/>
        </w:trPr>
        <w:tc>
          <w:tcPr>
            <w:tcW w:w="572" w:type="dxa"/>
            <w:vMerge w:val="restart"/>
            <w:tcBorders>
              <w:top w:val="single" w:sz="4" w:space="0" w:color="000000"/>
              <w:left w:val="single" w:sz="4" w:space="0" w:color="000000"/>
              <w:bottom w:val="single" w:sz="4" w:space="0" w:color="000000"/>
            </w:tcBorders>
            <w:shd w:val="clear" w:color="auto" w:fill="FFFFFF"/>
            <w:vAlign w:val="center"/>
          </w:tcPr>
          <w:p w:rsidR="00171D1D" w:rsidRPr="00592BA7" w:rsidRDefault="00171D1D" w:rsidP="00592BA7">
            <w:pPr>
              <w:jc w:val="both"/>
              <w:rPr>
                <w:rFonts w:ascii="Times New Roman" w:hAnsi="Times New Roman" w:cs="Times New Roman"/>
                <w:sz w:val="20"/>
                <w:szCs w:val="20"/>
                <w:lang w:eastAsia="zh-CN"/>
              </w:rPr>
            </w:pPr>
            <w:r w:rsidRPr="00592BA7">
              <w:rPr>
                <w:rFonts w:ascii="Times New Roman" w:hAnsi="Times New Roman" w:cs="Times New Roman"/>
                <w:sz w:val="20"/>
                <w:szCs w:val="20"/>
              </w:rPr>
              <w:t>1</w:t>
            </w:r>
          </w:p>
        </w:tc>
        <w:tc>
          <w:tcPr>
            <w:tcW w:w="2292" w:type="dxa"/>
            <w:tcBorders>
              <w:top w:val="single" w:sz="4" w:space="0" w:color="000000"/>
              <w:left w:val="single" w:sz="4" w:space="0" w:color="000000"/>
              <w:bottom w:val="single" w:sz="4" w:space="0" w:color="000000"/>
            </w:tcBorders>
            <w:shd w:val="clear" w:color="auto" w:fill="FFFFFF"/>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ШУМЕРЛЯ</w:t>
            </w:r>
          </w:p>
        </w:tc>
        <w:tc>
          <w:tcPr>
            <w:tcW w:w="2268" w:type="dxa"/>
            <w:tcBorders>
              <w:top w:val="single" w:sz="4" w:space="0" w:color="000000"/>
              <w:left w:val="single" w:sz="4" w:space="0" w:color="000000"/>
              <w:bottom w:val="single" w:sz="4" w:space="0" w:color="000000"/>
            </w:tcBorders>
            <w:shd w:val="clear" w:color="auto" w:fill="FFFFFF"/>
            <w:vAlign w:val="center"/>
          </w:tcPr>
          <w:p w:rsidR="00171D1D" w:rsidRPr="00592BA7" w:rsidRDefault="00171D1D" w:rsidP="00592BA7">
            <w:pPr>
              <w:jc w:val="both"/>
              <w:rPr>
                <w:rFonts w:ascii="Times New Roman" w:hAnsi="Times New Roman" w:cs="Times New Roman"/>
                <w:sz w:val="20"/>
                <w:szCs w:val="20"/>
                <w:lang w:eastAsia="zh-CN"/>
              </w:rPr>
            </w:pPr>
            <w:r w:rsidRPr="00592BA7">
              <w:rPr>
                <w:rFonts w:ascii="Times New Roman" w:hAnsi="Times New Roman" w:cs="Times New Roman"/>
                <w:sz w:val="20"/>
                <w:szCs w:val="20"/>
              </w:rPr>
              <w:t>99</w:t>
            </w:r>
          </w:p>
        </w:tc>
        <w:tc>
          <w:tcPr>
            <w:tcW w:w="1158" w:type="dxa"/>
            <w:tcBorders>
              <w:top w:val="single" w:sz="4" w:space="0" w:color="000000"/>
              <w:left w:val="single" w:sz="4" w:space="0" w:color="000000"/>
              <w:bottom w:val="single" w:sz="4" w:space="0" w:color="000000"/>
            </w:tcBorders>
            <w:shd w:val="clear" w:color="auto" w:fill="FFFFFF"/>
            <w:vAlign w:val="center"/>
          </w:tcPr>
          <w:p w:rsidR="00171D1D" w:rsidRPr="00592BA7" w:rsidRDefault="00171D1D" w:rsidP="00592BA7">
            <w:pPr>
              <w:jc w:val="both"/>
              <w:rPr>
                <w:rFonts w:ascii="Times New Roman" w:hAnsi="Times New Roman" w:cs="Times New Roman"/>
                <w:sz w:val="20"/>
                <w:szCs w:val="20"/>
                <w:lang w:eastAsia="zh-CN"/>
              </w:rPr>
            </w:pPr>
            <w:r w:rsidRPr="00592BA7">
              <w:rPr>
                <w:rFonts w:ascii="Times New Roman" w:hAnsi="Times New Roman" w:cs="Times New Roman"/>
                <w:sz w:val="20"/>
                <w:szCs w:val="20"/>
              </w:rPr>
              <w:t>21</w:t>
            </w:r>
          </w:p>
        </w:tc>
        <w:tc>
          <w:tcPr>
            <w:tcW w:w="1551" w:type="dxa"/>
            <w:tcBorders>
              <w:top w:val="single" w:sz="4" w:space="0" w:color="000000"/>
              <w:left w:val="single" w:sz="4" w:space="0" w:color="000000"/>
              <w:bottom w:val="single" w:sz="4" w:space="0" w:color="000000"/>
            </w:tcBorders>
            <w:shd w:val="clear" w:color="auto" w:fill="FFFFFF"/>
            <w:vAlign w:val="center"/>
          </w:tcPr>
          <w:p w:rsidR="00171D1D" w:rsidRPr="00592BA7" w:rsidRDefault="00171D1D" w:rsidP="00592BA7">
            <w:pPr>
              <w:jc w:val="both"/>
              <w:rPr>
                <w:rFonts w:ascii="Times New Roman" w:hAnsi="Times New Roman" w:cs="Times New Roman"/>
                <w:sz w:val="20"/>
                <w:szCs w:val="20"/>
                <w:lang w:eastAsia="zh-CN"/>
              </w:rPr>
            </w:pPr>
            <w:r w:rsidRPr="00592BA7">
              <w:rPr>
                <w:rFonts w:ascii="Times New Roman" w:hAnsi="Times New Roman" w:cs="Times New Roman"/>
                <w:sz w:val="20"/>
                <w:szCs w:val="20"/>
              </w:rPr>
              <w:t>0,005</w:t>
            </w:r>
          </w:p>
        </w:tc>
        <w:tc>
          <w:tcPr>
            <w:tcW w:w="17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71D1D" w:rsidRPr="00592BA7" w:rsidRDefault="00171D1D" w:rsidP="00592BA7">
            <w:pPr>
              <w:jc w:val="both"/>
              <w:rPr>
                <w:rFonts w:ascii="Times New Roman" w:hAnsi="Times New Roman" w:cs="Times New Roman"/>
                <w:sz w:val="20"/>
                <w:szCs w:val="20"/>
                <w:lang w:eastAsia="zh-CN"/>
              </w:rPr>
            </w:pPr>
            <w:r w:rsidRPr="00592BA7">
              <w:rPr>
                <w:rFonts w:ascii="Times New Roman" w:hAnsi="Times New Roman" w:cs="Times New Roman"/>
                <w:sz w:val="20"/>
                <w:szCs w:val="20"/>
              </w:rPr>
              <w:t>77,995</w:t>
            </w:r>
          </w:p>
        </w:tc>
      </w:tr>
      <w:tr w:rsidR="00171D1D" w:rsidRPr="00592BA7" w:rsidTr="00592BA7">
        <w:trPr>
          <w:trHeight w:val="375"/>
        </w:trPr>
        <w:tc>
          <w:tcPr>
            <w:tcW w:w="572" w:type="dxa"/>
            <w:vMerge/>
            <w:tcBorders>
              <w:top w:val="single" w:sz="4" w:space="0" w:color="000000"/>
              <w:left w:val="single" w:sz="4" w:space="0" w:color="000000"/>
              <w:bottom w:val="single" w:sz="4" w:space="0" w:color="000000"/>
            </w:tcBorders>
            <w:shd w:val="clear" w:color="auto" w:fill="FFFFFF"/>
            <w:vAlign w:val="center"/>
          </w:tcPr>
          <w:p w:rsidR="00171D1D" w:rsidRPr="00592BA7" w:rsidRDefault="00171D1D" w:rsidP="00592BA7">
            <w:pPr>
              <w:jc w:val="both"/>
              <w:rPr>
                <w:rFonts w:ascii="Times New Roman" w:hAnsi="Times New Roman" w:cs="Times New Roman"/>
                <w:sz w:val="20"/>
                <w:szCs w:val="20"/>
              </w:rPr>
            </w:pPr>
          </w:p>
        </w:tc>
        <w:tc>
          <w:tcPr>
            <w:tcW w:w="2292" w:type="dxa"/>
            <w:tcBorders>
              <w:top w:val="single" w:sz="4" w:space="0" w:color="000000"/>
              <w:left w:val="single" w:sz="4" w:space="0" w:color="000000"/>
              <w:bottom w:val="single" w:sz="4" w:space="0" w:color="000000"/>
            </w:tcBorders>
            <w:shd w:val="clear" w:color="auto" w:fill="FFFFFF"/>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Выход-Шумерля</w:t>
            </w:r>
          </w:p>
        </w:tc>
        <w:tc>
          <w:tcPr>
            <w:tcW w:w="2268" w:type="dxa"/>
            <w:tcBorders>
              <w:top w:val="single" w:sz="4" w:space="0" w:color="000000"/>
              <w:left w:val="single" w:sz="4" w:space="0" w:color="000000"/>
              <w:bottom w:val="single" w:sz="4" w:space="0" w:color="000000"/>
            </w:tcBorders>
            <w:shd w:val="clear" w:color="auto" w:fill="FFFFFF"/>
            <w:vAlign w:val="center"/>
          </w:tcPr>
          <w:p w:rsidR="00171D1D" w:rsidRPr="00592BA7" w:rsidRDefault="00171D1D" w:rsidP="00592BA7">
            <w:pPr>
              <w:jc w:val="both"/>
              <w:rPr>
                <w:rFonts w:ascii="Times New Roman" w:hAnsi="Times New Roman" w:cs="Times New Roman"/>
                <w:sz w:val="20"/>
                <w:szCs w:val="20"/>
                <w:lang w:eastAsia="zh-CN"/>
              </w:rPr>
            </w:pPr>
            <w:r w:rsidRPr="00592BA7">
              <w:rPr>
                <w:rFonts w:ascii="Times New Roman" w:hAnsi="Times New Roman" w:cs="Times New Roman"/>
                <w:sz w:val="20"/>
                <w:szCs w:val="20"/>
              </w:rPr>
              <w:t>80</w:t>
            </w:r>
          </w:p>
        </w:tc>
        <w:tc>
          <w:tcPr>
            <w:tcW w:w="1158" w:type="dxa"/>
            <w:tcBorders>
              <w:top w:val="single" w:sz="4" w:space="0" w:color="000000"/>
              <w:left w:val="single" w:sz="4" w:space="0" w:color="000000"/>
              <w:bottom w:val="single" w:sz="4" w:space="0" w:color="000000"/>
            </w:tcBorders>
            <w:shd w:val="clear" w:color="auto" w:fill="FFFFFF"/>
            <w:vAlign w:val="center"/>
          </w:tcPr>
          <w:p w:rsidR="00171D1D" w:rsidRPr="00592BA7" w:rsidRDefault="00171D1D" w:rsidP="00592BA7">
            <w:pPr>
              <w:jc w:val="both"/>
              <w:rPr>
                <w:rFonts w:ascii="Times New Roman" w:hAnsi="Times New Roman" w:cs="Times New Roman"/>
                <w:sz w:val="20"/>
                <w:szCs w:val="20"/>
                <w:lang w:eastAsia="zh-CN"/>
              </w:rPr>
            </w:pPr>
            <w:r w:rsidRPr="00592BA7">
              <w:rPr>
                <w:rFonts w:ascii="Times New Roman" w:hAnsi="Times New Roman" w:cs="Times New Roman"/>
                <w:sz w:val="20"/>
                <w:szCs w:val="20"/>
              </w:rPr>
              <w:t>16</w:t>
            </w:r>
          </w:p>
        </w:tc>
        <w:tc>
          <w:tcPr>
            <w:tcW w:w="1551" w:type="dxa"/>
            <w:tcBorders>
              <w:top w:val="single" w:sz="4" w:space="0" w:color="000000"/>
              <w:left w:val="single" w:sz="4" w:space="0" w:color="000000"/>
              <w:bottom w:val="single" w:sz="4" w:space="0" w:color="000000"/>
            </w:tcBorders>
            <w:shd w:val="clear" w:color="auto" w:fill="FFFFFF"/>
            <w:vAlign w:val="center"/>
          </w:tcPr>
          <w:p w:rsidR="00171D1D" w:rsidRPr="00592BA7" w:rsidRDefault="00171D1D" w:rsidP="00592BA7">
            <w:pPr>
              <w:jc w:val="both"/>
              <w:rPr>
                <w:rFonts w:ascii="Times New Roman" w:hAnsi="Times New Roman" w:cs="Times New Roman"/>
                <w:sz w:val="20"/>
                <w:szCs w:val="20"/>
                <w:lang w:eastAsia="zh-CN"/>
              </w:rPr>
            </w:pPr>
            <w:r w:rsidRPr="00592BA7">
              <w:rPr>
                <w:rFonts w:ascii="Times New Roman" w:hAnsi="Times New Roman" w:cs="Times New Roman"/>
                <w:sz w:val="20"/>
                <w:szCs w:val="20"/>
              </w:rPr>
              <w:t>0,005</w:t>
            </w:r>
          </w:p>
        </w:tc>
        <w:tc>
          <w:tcPr>
            <w:tcW w:w="17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71D1D" w:rsidRPr="00592BA7" w:rsidRDefault="00171D1D" w:rsidP="00592BA7">
            <w:pPr>
              <w:jc w:val="both"/>
              <w:rPr>
                <w:rFonts w:ascii="Times New Roman" w:hAnsi="Times New Roman" w:cs="Times New Roman"/>
                <w:sz w:val="20"/>
                <w:szCs w:val="20"/>
                <w:lang w:eastAsia="zh-CN"/>
              </w:rPr>
            </w:pPr>
            <w:r w:rsidRPr="00592BA7">
              <w:rPr>
                <w:rFonts w:ascii="Times New Roman" w:hAnsi="Times New Roman" w:cs="Times New Roman"/>
                <w:sz w:val="20"/>
                <w:szCs w:val="20"/>
              </w:rPr>
              <w:t>63,995</w:t>
            </w:r>
          </w:p>
        </w:tc>
      </w:tr>
      <w:tr w:rsidR="00171D1D" w:rsidRPr="00592BA7" w:rsidTr="00592BA7">
        <w:trPr>
          <w:trHeight w:val="375"/>
        </w:trPr>
        <w:tc>
          <w:tcPr>
            <w:tcW w:w="572" w:type="dxa"/>
            <w:vMerge/>
            <w:tcBorders>
              <w:top w:val="single" w:sz="4" w:space="0" w:color="000000"/>
              <w:left w:val="single" w:sz="4" w:space="0" w:color="000000"/>
              <w:bottom w:val="single" w:sz="4" w:space="0" w:color="000000"/>
            </w:tcBorders>
            <w:shd w:val="clear" w:color="auto" w:fill="FFFFFF"/>
            <w:vAlign w:val="center"/>
          </w:tcPr>
          <w:p w:rsidR="00171D1D" w:rsidRPr="00592BA7" w:rsidRDefault="00171D1D" w:rsidP="00592BA7">
            <w:pPr>
              <w:jc w:val="both"/>
              <w:rPr>
                <w:rFonts w:ascii="Times New Roman" w:hAnsi="Times New Roman" w:cs="Times New Roman"/>
                <w:sz w:val="20"/>
                <w:szCs w:val="20"/>
              </w:rPr>
            </w:pPr>
          </w:p>
        </w:tc>
        <w:tc>
          <w:tcPr>
            <w:tcW w:w="2292" w:type="dxa"/>
            <w:tcBorders>
              <w:top w:val="single" w:sz="4" w:space="0" w:color="000000"/>
              <w:left w:val="single" w:sz="4" w:space="0" w:color="000000"/>
              <w:bottom w:val="single" w:sz="4" w:space="0" w:color="000000"/>
            </w:tcBorders>
            <w:shd w:val="clear" w:color="auto" w:fill="FFFFFF"/>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Выход-Шумерлинский муниципальный округ</w:t>
            </w:r>
          </w:p>
        </w:tc>
        <w:tc>
          <w:tcPr>
            <w:tcW w:w="2268" w:type="dxa"/>
            <w:tcBorders>
              <w:top w:val="single" w:sz="4" w:space="0" w:color="000000"/>
              <w:left w:val="single" w:sz="4" w:space="0" w:color="000000"/>
              <w:bottom w:val="single" w:sz="4" w:space="0" w:color="000000"/>
            </w:tcBorders>
            <w:shd w:val="clear" w:color="auto" w:fill="FFFFFF"/>
            <w:vAlign w:val="center"/>
          </w:tcPr>
          <w:p w:rsidR="00171D1D" w:rsidRPr="00592BA7" w:rsidRDefault="00171D1D" w:rsidP="00592BA7">
            <w:pPr>
              <w:jc w:val="both"/>
              <w:rPr>
                <w:rFonts w:ascii="Times New Roman" w:hAnsi="Times New Roman" w:cs="Times New Roman"/>
                <w:sz w:val="20"/>
                <w:szCs w:val="20"/>
                <w:lang w:eastAsia="zh-CN"/>
              </w:rPr>
            </w:pPr>
            <w:r w:rsidRPr="00592BA7">
              <w:rPr>
                <w:rFonts w:ascii="Times New Roman" w:hAnsi="Times New Roman" w:cs="Times New Roman"/>
                <w:sz w:val="20"/>
                <w:szCs w:val="20"/>
              </w:rPr>
              <w:t>19</w:t>
            </w:r>
          </w:p>
        </w:tc>
        <w:tc>
          <w:tcPr>
            <w:tcW w:w="1158" w:type="dxa"/>
            <w:tcBorders>
              <w:top w:val="single" w:sz="4" w:space="0" w:color="000000"/>
              <w:left w:val="single" w:sz="4" w:space="0" w:color="000000"/>
              <w:bottom w:val="single" w:sz="4" w:space="0" w:color="000000"/>
            </w:tcBorders>
            <w:shd w:val="clear" w:color="auto" w:fill="FFFFFF"/>
            <w:vAlign w:val="center"/>
          </w:tcPr>
          <w:p w:rsidR="00171D1D" w:rsidRPr="00592BA7" w:rsidRDefault="00171D1D" w:rsidP="00592BA7">
            <w:pPr>
              <w:jc w:val="both"/>
              <w:rPr>
                <w:rFonts w:ascii="Times New Roman" w:hAnsi="Times New Roman" w:cs="Times New Roman"/>
                <w:sz w:val="20"/>
                <w:szCs w:val="20"/>
                <w:lang w:eastAsia="zh-CN"/>
              </w:rPr>
            </w:pPr>
            <w:r w:rsidRPr="00592BA7">
              <w:rPr>
                <w:rFonts w:ascii="Times New Roman" w:hAnsi="Times New Roman" w:cs="Times New Roman"/>
                <w:sz w:val="20"/>
                <w:szCs w:val="20"/>
              </w:rPr>
              <w:t>5</w:t>
            </w:r>
          </w:p>
        </w:tc>
        <w:tc>
          <w:tcPr>
            <w:tcW w:w="1551" w:type="dxa"/>
            <w:tcBorders>
              <w:top w:val="single" w:sz="4" w:space="0" w:color="000000"/>
              <w:left w:val="single" w:sz="4" w:space="0" w:color="000000"/>
              <w:bottom w:val="single" w:sz="4" w:space="0" w:color="000000"/>
            </w:tcBorders>
            <w:shd w:val="clear" w:color="auto" w:fill="FFFFFF"/>
            <w:vAlign w:val="center"/>
          </w:tcPr>
          <w:p w:rsidR="00171D1D" w:rsidRPr="00592BA7" w:rsidRDefault="00171D1D" w:rsidP="00592BA7">
            <w:pPr>
              <w:jc w:val="both"/>
              <w:rPr>
                <w:rFonts w:ascii="Times New Roman" w:hAnsi="Times New Roman" w:cs="Times New Roman"/>
                <w:sz w:val="20"/>
                <w:szCs w:val="20"/>
                <w:lang w:eastAsia="zh-CN"/>
              </w:rPr>
            </w:pPr>
            <w:r w:rsidRPr="00592BA7">
              <w:rPr>
                <w:rFonts w:ascii="Times New Roman" w:hAnsi="Times New Roman" w:cs="Times New Roman"/>
                <w:sz w:val="20"/>
                <w:szCs w:val="20"/>
              </w:rPr>
              <w:t>0</w:t>
            </w:r>
          </w:p>
        </w:tc>
        <w:tc>
          <w:tcPr>
            <w:tcW w:w="17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71D1D" w:rsidRPr="00592BA7" w:rsidRDefault="00171D1D" w:rsidP="00592BA7">
            <w:pPr>
              <w:jc w:val="both"/>
              <w:rPr>
                <w:rFonts w:ascii="Times New Roman" w:hAnsi="Times New Roman" w:cs="Times New Roman"/>
                <w:sz w:val="20"/>
                <w:szCs w:val="20"/>
                <w:lang w:eastAsia="zh-CN"/>
              </w:rPr>
            </w:pPr>
            <w:r w:rsidRPr="00592BA7">
              <w:rPr>
                <w:rFonts w:ascii="Times New Roman" w:hAnsi="Times New Roman" w:cs="Times New Roman"/>
                <w:sz w:val="20"/>
                <w:szCs w:val="20"/>
              </w:rPr>
              <w:t>14</w:t>
            </w:r>
          </w:p>
        </w:tc>
      </w:tr>
      <w:tr w:rsidR="00171D1D" w:rsidRPr="00592BA7" w:rsidTr="00592BA7">
        <w:trPr>
          <w:trHeight w:val="375"/>
        </w:trPr>
        <w:tc>
          <w:tcPr>
            <w:tcW w:w="572" w:type="dxa"/>
            <w:tcBorders>
              <w:top w:val="single" w:sz="4" w:space="0" w:color="000000"/>
              <w:left w:val="single" w:sz="4" w:space="0" w:color="000000"/>
              <w:bottom w:val="single" w:sz="4" w:space="0" w:color="000000"/>
            </w:tcBorders>
            <w:shd w:val="clear" w:color="auto" w:fill="FFFFFF"/>
            <w:vAlign w:val="center"/>
          </w:tcPr>
          <w:p w:rsidR="00171D1D" w:rsidRPr="00592BA7" w:rsidRDefault="00171D1D" w:rsidP="00592BA7">
            <w:pPr>
              <w:jc w:val="both"/>
              <w:rPr>
                <w:rFonts w:ascii="Times New Roman" w:hAnsi="Times New Roman" w:cs="Times New Roman"/>
                <w:sz w:val="20"/>
                <w:szCs w:val="20"/>
                <w:lang w:eastAsia="zh-CN"/>
              </w:rPr>
            </w:pPr>
            <w:r w:rsidRPr="00592BA7">
              <w:rPr>
                <w:rFonts w:ascii="Times New Roman" w:hAnsi="Times New Roman" w:cs="Times New Roman"/>
                <w:sz w:val="20"/>
                <w:szCs w:val="20"/>
              </w:rPr>
              <w:t>2</w:t>
            </w:r>
          </w:p>
        </w:tc>
        <w:tc>
          <w:tcPr>
            <w:tcW w:w="2292" w:type="dxa"/>
            <w:tcBorders>
              <w:top w:val="single" w:sz="4" w:space="0" w:color="000000"/>
              <w:left w:val="single" w:sz="4" w:space="0" w:color="000000"/>
              <w:bottom w:val="single" w:sz="4" w:space="0" w:color="000000"/>
            </w:tcBorders>
            <w:shd w:val="clear" w:color="auto" w:fill="FFFFFF"/>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ЮМАНАИ</w:t>
            </w:r>
          </w:p>
        </w:tc>
        <w:tc>
          <w:tcPr>
            <w:tcW w:w="2268" w:type="dxa"/>
            <w:tcBorders>
              <w:top w:val="single" w:sz="4" w:space="0" w:color="000000"/>
              <w:left w:val="single" w:sz="4" w:space="0" w:color="000000"/>
              <w:bottom w:val="single" w:sz="4" w:space="0" w:color="000000"/>
            </w:tcBorders>
            <w:shd w:val="clear" w:color="auto" w:fill="FFFFFF"/>
            <w:vAlign w:val="center"/>
          </w:tcPr>
          <w:p w:rsidR="00171D1D" w:rsidRPr="00592BA7" w:rsidRDefault="00171D1D" w:rsidP="00592BA7">
            <w:pPr>
              <w:jc w:val="both"/>
              <w:rPr>
                <w:rFonts w:ascii="Times New Roman" w:hAnsi="Times New Roman" w:cs="Times New Roman"/>
                <w:sz w:val="20"/>
                <w:szCs w:val="20"/>
                <w:lang w:eastAsia="zh-CN"/>
              </w:rPr>
            </w:pPr>
            <w:r w:rsidRPr="00592BA7">
              <w:rPr>
                <w:rFonts w:ascii="Times New Roman" w:hAnsi="Times New Roman" w:cs="Times New Roman"/>
                <w:sz w:val="20"/>
                <w:szCs w:val="20"/>
              </w:rPr>
              <w:t>18,8</w:t>
            </w:r>
          </w:p>
        </w:tc>
        <w:tc>
          <w:tcPr>
            <w:tcW w:w="1158" w:type="dxa"/>
            <w:tcBorders>
              <w:top w:val="single" w:sz="4" w:space="0" w:color="000000"/>
              <w:left w:val="single" w:sz="4" w:space="0" w:color="000000"/>
              <w:bottom w:val="single" w:sz="4" w:space="0" w:color="000000"/>
            </w:tcBorders>
            <w:shd w:val="clear" w:color="auto" w:fill="FFFFFF"/>
            <w:vAlign w:val="center"/>
          </w:tcPr>
          <w:p w:rsidR="00171D1D" w:rsidRPr="00592BA7" w:rsidRDefault="00171D1D" w:rsidP="00592BA7">
            <w:pPr>
              <w:jc w:val="both"/>
              <w:rPr>
                <w:rFonts w:ascii="Times New Roman" w:hAnsi="Times New Roman" w:cs="Times New Roman"/>
                <w:sz w:val="20"/>
                <w:szCs w:val="20"/>
                <w:lang w:eastAsia="zh-CN"/>
              </w:rPr>
            </w:pPr>
            <w:r w:rsidRPr="00592BA7">
              <w:rPr>
                <w:rFonts w:ascii="Times New Roman" w:hAnsi="Times New Roman" w:cs="Times New Roman"/>
                <w:sz w:val="20"/>
                <w:szCs w:val="20"/>
              </w:rPr>
              <w:t>3,5</w:t>
            </w:r>
          </w:p>
        </w:tc>
        <w:tc>
          <w:tcPr>
            <w:tcW w:w="1551" w:type="dxa"/>
            <w:tcBorders>
              <w:top w:val="single" w:sz="4" w:space="0" w:color="000000"/>
              <w:left w:val="single" w:sz="4" w:space="0" w:color="000000"/>
              <w:bottom w:val="single" w:sz="4" w:space="0" w:color="000000"/>
            </w:tcBorders>
            <w:shd w:val="clear" w:color="auto" w:fill="FFFFFF"/>
            <w:vAlign w:val="center"/>
          </w:tcPr>
          <w:p w:rsidR="00171D1D" w:rsidRPr="00592BA7" w:rsidRDefault="00171D1D" w:rsidP="00592BA7">
            <w:pPr>
              <w:jc w:val="both"/>
              <w:rPr>
                <w:rFonts w:ascii="Times New Roman" w:hAnsi="Times New Roman" w:cs="Times New Roman"/>
                <w:sz w:val="20"/>
                <w:szCs w:val="20"/>
                <w:lang w:eastAsia="zh-CN"/>
              </w:rPr>
            </w:pPr>
            <w:r w:rsidRPr="00592BA7">
              <w:rPr>
                <w:rFonts w:ascii="Times New Roman" w:hAnsi="Times New Roman" w:cs="Times New Roman"/>
                <w:sz w:val="20"/>
                <w:szCs w:val="20"/>
              </w:rPr>
              <w:t>0</w:t>
            </w:r>
          </w:p>
        </w:tc>
        <w:tc>
          <w:tcPr>
            <w:tcW w:w="17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71D1D" w:rsidRPr="00592BA7" w:rsidRDefault="00171D1D" w:rsidP="00592BA7">
            <w:pPr>
              <w:jc w:val="both"/>
              <w:rPr>
                <w:rFonts w:ascii="Times New Roman" w:hAnsi="Times New Roman" w:cs="Times New Roman"/>
                <w:sz w:val="20"/>
                <w:szCs w:val="20"/>
                <w:lang w:eastAsia="zh-CN"/>
              </w:rPr>
            </w:pPr>
            <w:r w:rsidRPr="00592BA7">
              <w:rPr>
                <w:rFonts w:ascii="Times New Roman" w:hAnsi="Times New Roman" w:cs="Times New Roman"/>
                <w:sz w:val="20"/>
                <w:szCs w:val="20"/>
              </w:rPr>
              <w:t>15,3</w:t>
            </w:r>
          </w:p>
        </w:tc>
      </w:tr>
    </w:tbl>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Таким образом, на ГРС, расположенных на территории Шумерлинского муниципального округа, зафиксирован резерв пропускной способности.</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Ограничения использования мощностей</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Проведённый анализ технических и технологических характеристик ГРС, расположенных на территории Шумерлинского муниципального округа, не выявил ограничения использования мощностей.</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Качество эксплуатации, наладки и ремонтов</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Качество эксплуатации, наладки и ремонтов ГРП удовлетворяет требованиям ГОСТ 54960-2012 «Системы газораспределительные. Пункты газорегуляторные блочные. Пункты редуцирования газа шкафные. Общие технические требования», утверждённым приказом Федерального агентства по техническому регулированию и метрологии от 22.08.2012 г.  №250-ст. </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Расход ресурсов</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Расход газа ограничивается расходом потребления на нужды потребителей.</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Собственные нужды </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На территории Шумерлинского муниципального округа расход газа на собственные нужды отсутствует.</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Имеющиеся проблемы и направления их решения </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Отсутствуют.</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3.3.2.2. Анализ эффективности и надежности имеющихся сетей, имеющиеся проблемы и направления их решения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В настоящее время природный газ доведен практически до каждого населенного пункта округа. Остаются негазифицированными 10 населенных пунктов.</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Резервирование </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Резервирование газопроводов отсутствует.</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 xml:space="preserve">Применяемые графики работы </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Применяемый график работы системы газоснабжения – круглосуточный. Обоснованность подобного графика работы системы газоснабжения объясняется выполнением требований бесперебойного предоставления газа потребителям. Штатный режим работы газового оборудования и газопроводов предполагает технологические перерывы.  </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Статистика отказов и среднего времени восстановления работы </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Данные о статистике отказов и времени восстановления работы сетей газораспределения отсутствуют, поэтому провести их анализ не представляется возможным.</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Качество эксплуатации </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Качество эксплуатации газопроводов удовлетворяет требованиям федеральных норм и правил в области промышленной безопасности «Правила безопасности сетей газораспределения и газопотребления», утверждённых приказом Федеральной службой по экологическому, технологическому и атомному надзору от 15.11.2013 г. №542. </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Безопасность работы системы газоснабжения обеспечивается за счёт реализации комплекса мер, учитывающих: </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 эксплуатацию объектов систем газораспределения и газопотребления; </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 особые требования взрывобезопасности при эксплуатации систем газоснабжения котельных; </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 газоопасные работы; </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 пожарную безопасность. </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Следует отметить, что с целью установления предельного срока эксплуатации участков газораспределительных сетей, проводятся работы по их диагностированию. По истечении установленного предельного срока эксплуатация данных участков прекращается. Таким образом, АО «Газпром газораспределение Чебоксары» филиал в г. Шумерля обеспечивает надлежащее содержание и эксплуатацию газопроводов. Кроме того, в целях осуществления мер, направленных на обеспечение безопасного функционирования газоснабжения и предотвращения возникновения аварийных ситуаций в предприятием организовано оперативно-диспетчерское управление.   </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Качество диспетчеризации </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Диспетчеризация предусматривает: </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 подачу сигнала тревоги на единый диспетчерский пульт предприятия при аварийной ситуации; </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 возможность управления системой газоснабжения как в ручном, так и в автоматическом режиме. </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Для оперативного реагирования и решения аварийных ситуаций создана Единая дежурно-диспетчерская служба города Шумерля». Учреждение совместно с аварийно-диспечерским подразделением АО «Газпром газораспределение Чебоксары» Филиал в г. Шумерле осуществляют круглосуточный приём заявок.  Диспетчер обеспечивает выезд оперативно-выездных бригад по заявкам потребителей и осуществляет контрольные мероприятия.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Имеющиеся проблемы и направления их решения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Высокий уровень газификации природным газом является важнейшим фактором жизнеобеспечения населения, способствующим стабильности социально-экономического развития Шумерлинского муниципального округа.</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Развитие системы газоснабжения Шумерлинского муниципального округа следует осуществлять в увязке с перспективами градостроительного развития Шумерлинского муниципального округа.</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3.3.2.3. Анализ зон действия источников газоснабжения и их рациональности, имеющиеся проблемы и направления их решения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Шумерлинский муниципальный округ газифицирован на 82,5%. </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3.3.2.4. Анализ имеющихся резервов и дефицитов мощности в системе газоснабжения и ожидаемых резервов, и дефицитов</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Дефициты мощности в системе газоснабжения на территории Шумерлинского муниципального округа отсутствуют.</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Свободные мощности на газораспределительных станциях по состоянию на 10.06.2024 в Шумерлинском муниципальном округе составляют 82,202 тыс. м3/ч (по данным сайта https://www.chsetgaz.ru/tp.asp).</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3.3.2.5. Анализ показателей готовности системы газоснабжения, имеющиеся проблемы и направления их решения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В соответствии с постановлением Правительства РФ от 18.10.2014 №1074 «О порядке определения показателей надежности и качества услуг по транспортировке газа по газораспределительным сетям и о внесении изменений в постановления Правительства Российской Федерации от 29.12.2000 г. №1021» определяются показатели надежности и качества транспортировки газа. </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Надежность услуг по транспортировке газа по газораспределительным сетям характеризуется: </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а) количеством прекращений и ограничений транспортировки газа по газораспределительным сетям потребителям; </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б) продолжительностью прекращений и ограничений транспортировки газа по газораспределительным сетям потребителям; </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в) количеством недопоставленного газа потребителям в результате прекращений и ограничений транспортировки газа по газораспределительным сетям. </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Качество услуг по транспортировке газа по газораспределительным сетям характеризуется: </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а) обеспечением давления в газораспределительной сети в пределах, необходимых для функционирования газопотребляющего оборудования; </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б) соответствием физико-химических характеристик газа требованиям, установленным в нормативно-технических документах. </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Фактические показатели готовности систем газоснабжения на территории муниципального округа не предоставлены. В целом готовность систем оцениваются как удовлетворительная.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3.3.2.6. Воздействие на окружающую среду, имеющиеся проблемы и направления их решения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Основными факторами воздействия системы газоснабжения (газораспределения) на окружающую среду являются выбросы вредных загрязняющих веществ в атмосферный воздух, шумовые и вибрационные воздействия, образование и размещение отходов (химических веществ, масла, мусора, технических вод и т.п.)</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Воздействие системы газоснабжения Шумерлинского муниципального округа на окружающую среду находится в рамках допустимых значений и соответствует установленным нормативам для предприятий газоснабжения.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3.3.3. Анализ финансового состояния организаций коммунального комплекса, тарифов на коммунальные ресурсы</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Таблица 3.3.3.1</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 xml:space="preserve">Информация об основных показателях финансово-хозяйственной деятельности АО «Газпром газораспределение Чебоксары» на 2024 год </w:t>
      </w:r>
    </w:p>
    <w:tbl>
      <w:tblPr>
        <w:tblW w:w="4987"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6"/>
        <w:gridCol w:w="5947"/>
        <w:gridCol w:w="1327"/>
        <w:gridCol w:w="1537"/>
      </w:tblGrid>
      <w:tr w:rsidR="00171D1D" w:rsidRPr="00592BA7" w:rsidTr="00592BA7">
        <w:trPr>
          <w:trHeight w:val="450"/>
        </w:trPr>
        <w:tc>
          <w:tcPr>
            <w:tcW w:w="517" w:type="pct"/>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w:t>
            </w:r>
          </w:p>
        </w:tc>
        <w:tc>
          <w:tcPr>
            <w:tcW w:w="3026" w:type="pct"/>
            <w:shd w:val="clear" w:color="auto" w:fill="auto"/>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Наименование показателя</w:t>
            </w:r>
          </w:p>
        </w:tc>
        <w:tc>
          <w:tcPr>
            <w:tcW w:w="675" w:type="pct"/>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Единицы измерения </w:t>
            </w:r>
          </w:p>
        </w:tc>
        <w:tc>
          <w:tcPr>
            <w:tcW w:w="782"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Всего</w:t>
            </w:r>
          </w:p>
        </w:tc>
      </w:tr>
      <w:tr w:rsidR="00171D1D" w:rsidRPr="00592BA7" w:rsidTr="00592BA7">
        <w:trPr>
          <w:trHeight w:val="225"/>
        </w:trPr>
        <w:tc>
          <w:tcPr>
            <w:tcW w:w="517"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w:t>
            </w:r>
          </w:p>
        </w:tc>
        <w:tc>
          <w:tcPr>
            <w:tcW w:w="3026" w:type="pct"/>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Расходы на транспортировку газа по данным бухгалтерского учета всего, в том числе:</w:t>
            </w:r>
          </w:p>
        </w:tc>
        <w:tc>
          <w:tcPr>
            <w:tcW w:w="675"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тыс. руб. </w:t>
            </w:r>
          </w:p>
        </w:tc>
        <w:tc>
          <w:tcPr>
            <w:tcW w:w="782"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1 366 578,74</w:t>
            </w:r>
          </w:p>
        </w:tc>
      </w:tr>
      <w:tr w:rsidR="00171D1D" w:rsidRPr="00592BA7" w:rsidTr="00592BA7">
        <w:trPr>
          <w:trHeight w:val="225"/>
        </w:trPr>
        <w:tc>
          <w:tcPr>
            <w:tcW w:w="517"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1.1</w:t>
            </w:r>
          </w:p>
        </w:tc>
        <w:tc>
          <w:tcPr>
            <w:tcW w:w="3026" w:type="pct"/>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Фонд оплаты труда</w:t>
            </w:r>
          </w:p>
        </w:tc>
        <w:tc>
          <w:tcPr>
            <w:tcW w:w="675"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тыс. руб. </w:t>
            </w:r>
          </w:p>
        </w:tc>
        <w:tc>
          <w:tcPr>
            <w:tcW w:w="782"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593 335,64</w:t>
            </w:r>
          </w:p>
        </w:tc>
      </w:tr>
      <w:tr w:rsidR="00171D1D" w:rsidRPr="00592BA7" w:rsidTr="00592BA7">
        <w:trPr>
          <w:trHeight w:val="225"/>
        </w:trPr>
        <w:tc>
          <w:tcPr>
            <w:tcW w:w="517"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1.2</w:t>
            </w:r>
          </w:p>
        </w:tc>
        <w:tc>
          <w:tcPr>
            <w:tcW w:w="3026" w:type="pct"/>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Отчисление на уплату страховых взносов</w:t>
            </w:r>
          </w:p>
        </w:tc>
        <w:tc>
          <w:tcPr>
            <w:tcW w:w="675"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тыс. руб. </w:t>
            </w:r>
          </w:p>
        </w:tc>
        <w:tc>
          <w:tcPr>
            <w:tcW w:w="782"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174 619,12</w:t>
            </w:r>
          </w:p>
        </w:tc>
      </w:tr>
      <w:tr w:rsidR="00171D1D" w:rsidRPr="00592BA7" w:rsidTr="00592BA7">
        <w:trPr>
          <w:trHeight w:val="225"/>
        </w:trPr>
        <w:tc>
          <w:tcPr>
            <w:tcW w:w="517"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1.3</w:t>
            </w:r>
          </w:p>
        </w:tc>
        <w:tc>
          <w:tcPr>
            <w:tcW w:w="3026" w:type="pct"/>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Материальные затраты, в том числе:</w:t>
            </w:r>
          </w:p>
        </w:tc>
        <w:tc>
          <w:tcPr>
            <w:tcW w:w="675"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тыс. руб. </w:t>
            </w:r>
          </w:p>
        </w:tc>
        <w:tc>
          <w:tcPr>
            <w:tcW w:w="782"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130 140,86</w:t>
            </w:r>
          </w:p>
        </w:tc>
      </w:tr>
      <w:tr w:rsidR="00171D1D" w:rsidRPr="00592BA7" w:rsidTr="00592BA7">
        <w:trPr>
          <w:trHeight w:val="225"/>
        </w:trPr>
        <w:tc>
          <w:tcPr>
            <w:tcW w:w="517"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1.3.1</w:t>
            </w:r>
          </w:p>
        </w:tc>
        <w:tc>
          <w:tcPr>
            <w:tcW w:w="3026" w:type="pct"/>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сырье и материалы</w:t>
            </w:r>
          </w:p>
        </w:tc>
        <w:tc>
          <w:tcPr>
            <w:tcW w:w="675"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тыс. руб. </w:t>
            </w:r>
          </w:p>
        </w:tc>
        <w:tc>
          <w:tcPr>
            <w:tcW w:w="782"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44 356,28</w:t>
            </w:r>
          </w:p>
        </w:tc>
      </w:tr>
      <w:tr w:rsidR="00171D1D" w:rsidRPr="00592BA7" w:rsidTr="00592BA7">
        <w:trPr>
          <w:trHeight w:val="225"/>
        </w:trPr>
        <w:tc>
          <w:tcPr>
            <w:tcW w:w="517"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1.3.2</w:t>
            </w:r>
          </w:p>
        </w:tc>
        <w:tc>
          <w:tcPr>
            <w:tcW w:w="3026" w:type="pct"/>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газ на собственные и технологические нужды</w:t>
            </w:r>
          </w:p>
        </w:tc>
        <w:tc>
          <w:tcPr>
            <w:tcW w:w="675"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тыс. руб. </w:t>
            </w:r>
          </w:p>
        </w:tc>
        <w:tc>
          <w:tcPr>
            <w:tcW w:w="782"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7 774,04</w:t>
            </w:r>
          </w:p>
        </w:tc>
      </w:tr>
      <w:tr w:rsidR="00171D1D" w:rsidRPr="00592BA7" w:rsidTr="00592BA7">
        <w:trPr>
          <w:trHeight w:val="225"/>
        </w:trPr>
        <w:tc>
          <w:tcPr>
            <w:tcW w:w="517"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1.3.3</w:t>
            </w:r>
          </w:p>
        </w:tc>
        <w:tc>
          <w:tcPr>
            <w:tcW w:w="3026" w:type="pct"/>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технологические и эксплуатационные потери</w:t>
            </w:r>
          </w:p>
        </w:tc>
        <w:tc>
          <w:tcPr>
            <w:tcW w:w="675"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тыс. руб. </w:t>
            </w:r>
          </w:p>
        </w:tc>
        <w:tc>
          <w:tcPr>
            <w:tcW w:w="782"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43 812,79</w:t>
            </w:r>
          </w:p>
        </w:tc>
      </w:tr>
      <w:tr w:rsidR="00171D1D" w:rsidRPr="00592BA7" w:rsidTr="00592BA7">
        <w:trPr>
          <w:trHeight w:val="225"/>
        </w:trPr>
        <w:tc>
          <w:tcPr>
            <w:tcW w:w="517"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1.3.4</w:t>
            </w:r>
          </w:p>
        </w:tc>
        <w:tc>
          <w:tcPr>
            <w:tcW w:w="3026" w:type="pct"/>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прочие</w:t>
            </w:r>
          </w:p>
        </w:tc>
        <w:tc>
          <w:tcPr>
            <w:tcW w:w="675"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тыс. руб. </w:t>
            </w:r>
          </w:p>
        </w:tc>
        <w:tc>
          <w:tcPr>
            <w:tcW w:w="782"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34 163,43</w:t>
            </w:r>
          </w:p>
        </w:tc>
      </w:tr>
      <w:tr w:rsidR="00171D1D" w:rsidRPr="00592BA7" w:rsidTr="00592BA7">
        <w:trPr>
          <w:trHeight w:val="77"/>
        </w:trPr>
        <w:tc>
          <w:tcPr>
            <w:tcW w:w="517"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1.3.5</w:t>
            </w:r>
          </w:p>
        </w:tc>
        <w:tc>
          <w:tcPr>
            <w:tcW w:w="3026" w:type="pct"/>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плата за негативное воздействие на окружающую среду</w:t>
            </w:r>
          </w:p>
        </w:tc>
        <w:tc>
          <w:tcPr>
            <w:tcW w:w="675"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тыс. руб. </w:t>
            </w:r>
          </w:p>
        </w:tc>
        <w:tc>
          <w:tcPr>
            <w:tcW w:w="782"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34,32</w:t>
            </w:r>
          </w:p>
        </w:tc>
      </w:tr>
      <w:tr w:rsidR="00171D1D" w:rsidRPr="00592BA7" w:rsidTr="00592BA7">
        <w:trPr>
          <w:trHeight w:val="225"/>
        </w:trPr>
        <w:tc>
          <w:tcPr>
            <w:tcW w:w="517"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1.4</w:t>
            </w:r>
          </w:p>
        </w:tc>
        <w:tc>
          <w:tcPr>
            <w:tcW w:w="3026" w:type="pct"/>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Амортизация основных средств</w:t>
            </w:r>
          </w:p>
        </w:tc>
        <w:tc>
          <w:tcPr>
            <w:tcW w:w="675"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тыс. руб. </w:t>
            </w:r>
          </w:p>
        </w:tc>
        <w:tc>
          <w:tcPr>
            <w:tcW w:w="782"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110 791,42</w:t>
            </w:r>
          </w:p>
        </w:tc>
      </w:tr>
      <w:tr w:rsidR="00171D1D" w:rsidRPr="00592BA7" w:rsidTr="00592BA7">
        <w:trPr>
          <w:trHeight w:val="225"/>
        </w:trPr>
        <w:tc>
          <w:tcPr>
            <w:tcW w:w="517"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1.5</w:t>
            </w:r>
          </w:p>
        </w:tc>
        <w:tc>
          <w:tcPr>
            <w:tcW w:w="3026" w:type="pct"/>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Прочие затраты, в том числе:</w:t>
            </w:r>
          </w:p>
        </w:tc>
        <w:tc>
          <w:tcPr>
            <w:tcW w:w="675"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тыс. руб. </w:t>
            </w:r>
          </w:p>
        </w:tc>
        <w:tc>
          <w:tcPr>
            <w:tcW w:w="782"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357 691,69</w:t>
            </w:r>
          </w:p>
        </w:tc>
      </w:tr>
      <w:tr w:rsidR="00171D1D" w:rsidRPr="00592BA7" w:rsidTr="00592BA7">
        <w:trPr>
          <w:trHeight w:val="225"/>
        </w:trPr>
        <w:tc>
          <w:tcPr>
            <w:tcW w:w="517"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1.5.1</w:t>
            </w:r>
          </w:p>
        </w:tc>
        <w:tc>
          <w:tcPr>
            <w:tcW w:w="3026" w:type="pct"/>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Арендная плата (лизинг), в том числе:</w:t>
            </w:r>
          </w:p>
        </w:tc>
        <w:tc>
          <w:tcPr>
            <w:tcW w:w="675"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тыс. руб. </w:t>
            </w:r>
          </w:p>
        </w:tc>
        <w:tc>
          <w:tcPr>
            <w:tcW w:w="782"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248 403,17</w:t>
            </w:r>
          </w:p>
        </w:tc>
      </w:tr>
      <w:tr w:rsidR="00171D1D" w:rsidRPr="00592BA7" w:rsidTr="00592BA7">
        <w:trPr>
          <w:trHeight w:val="225"/>
        </w:trPr>
        <w:tc>
          <w:tcPr>
            <w:tcW w:w="517"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1.5.1.1</w:t>
            </w:r>
          </w:p>
        </w:tc>
        <w:tc>
          <w:tcPr>
            <w:tcW w:w="3026" w:type="pct"/>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аренда (лизинг) здания, транспорта</w:t>
            </w:r>
          </w:p>
        </w:tc>
        <w:tc>
          <w:tcPr>
            <w:tcW w:w="675"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тыс. руб. </w:t>
            </w:r>
          </w:p>
        </w:tc>
        <w:tc>
          <w:tcPr>
            <w:tcW w:w="782"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0,42</w:t>
            </w:r>
          </w:p>
        </w:tc>
      </w:tr>
      <w:tr w:rsidR="00171D1D" w:rsidRPr="00592BA7" w:rsidTr="00592BA7">
        <w:trPr>
          <w:trHeight w:val="225"/>
        </w:trPr>
        <w:tc>
          <w:tcPr>
            <w:tcW w:w="517"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1.5.1.2</w:t>
            </w:r>
          </w:p>
        </w:tc>
        <w:tc>
          <w:tcPr>
            <w:tcW w:w="3026" w:type="pct"/>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аренда газопроводов у юридических и физических лиц</w:t>
            </w:r>
          </w:p>
        </w:tc>
        <w:tc>
          <w:tcPr>
            <w:tcW w:w="675"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тыс. руб. </w:t>
            </w:r>
          </w:p>
        </w:tc>
        <w:tc>
          <w:tcPr>
            <w:tcW w:w="782"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245 912,32</w:t>
            </w:r>
          </w:p>
        </w:tc>
      </w:tr>
      <w:tr w:rsidR="00171D1D" w:rsidRPr="00592BA7" w:rsidTr="00592BA7">
        <w:trPr>
          <w:trHeight w:val="450"/>
        </w:trPr>
        <w:tc>
          <w:tcPr>
            <w:tcW w:w="517"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1.5.1.3</w:t>
            </w:r>
          </w:p>
        </w:tc>
        <w:tc>
          <w:tcPr>
            <w:tcW w:w="3026" w:type="pct"/>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аренда (концессия) газопроводов, находящихся в государственной и муниципальной собственности</w:t>
            </w:r>
          </w:p>
        </w:tc>
        <w:tc>
          <w:tcPr>
            <w:tcW w:w="675"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тыс. руб. </w:t>
            </w:r>
          </w:p>
        </w:tc>
        <w:tc>
          <w:tcPr>
            <w:tcW w:w="782"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2 451,74</w:t>
            </w:r>
          </w:p>
        </w:tc>
      </w:tr>
      <w:tr w:rsidR="00171D1D" w:rsidRPr="00592BA7" w:rsidTr="00592BA7">
        <w:trPr>
          <w:trHeight w:val="225"/>
        </w:trPr>
        <w:tc>
          <w:tcPr>
            <w:tcW w:w="517"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1.5.1.4</w:t>
            </w:r>
          </w:p>
        </w:tc>
        <w:tc>
          <w:tcPr>
            <w:tcW w:w="3026" w:type="pct"/>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аренда земельного участка</w:t>
            </w:r>
          </w:p>
        </w:tc>
        <w:tc>
          <w:tcPr>
            <w:tcW w:w="675"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тыс. руб. </w:t>
            </w:r>
          </w:p>
        </w:tc>
        <w:tc>
          <w:tcPr>
            <w:tcW w:w="782"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38,69</w:t>
            </w:r>
          </w:p>
        </w:tc>
      </w:tr>
      <w:tr w:rsidR="00171D1D" w:rsidRPr="00592BA7" w:rsidTr="00592BA7">
        <w:trPr>
          <w:trHeight w:val="225"/>
        </w:trPr>
        <w:tc>
          <w:tcPr>
            <w:tcW w:w="517"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1.5.2</w:t>
            </w:r>
          </w:p>
        </w:tc>
        <w:tc>
          <w:tcPr>
            <w:tcW w:w="3026" w:type="pct"/>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Страховые платежи, в том числе:</w:t>
            </w:r>
          </w:p>
        </w:tc>
        <w:tc>
          <w:tcPr>
            <w:tcW w:w="675"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тыс. руб. </w:t>
            </w:r>
          </w:p>
        </w:tc>
        <w:tc>
          <w:tcPr>
            <w:tcW w:w="782"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1 255,17</w:t>
            </w:r>
          </w:p>
        </w:tc>
      </w:tr>
      <w:tr w:rsidR="00171D1D" w:rsidRPr="00592BA7" w:rsidTr="00592BA7">
        <w:trPr>
          <w:trHeight w:val="225"/>
        </w:trPr>
        <w:tc>
          <w:tcPr>
            <w:tcW w:w="517"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1.5.2.1</w:t>
            </w:r>
          </w:p>
        </w:tc>
        <w:tc>
          <w:tcPr>
            <w:tcW w:w="3026" w:type="pct"/>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страхование опасных производственных объектов (ответственность перед третьими лицами)</w:t>
            </w:r>
          </w:p>
        </w:tc>
        <w:tc>
          <w:tcPr>
            <w:tcW w:w="675"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тыс. руб. </w:t>
            </w:r>
          </w:p>
        </w:tc>
        <w:tc>
          <w:tcPr>
            <w:tcW w:w="782"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245,24</w:t>
            </w:r>
          </w:p>
        </w:tc>
      </w:tr>
      <w:tr w:rsidR="00171D1D" w:rsidRPr="00592BA7" w:rsidTr="00592BA7">
        <w:trPr>
          <w:trHeight w:val="225"/>
        </w:trPr>
        <w:tc>
          <w:tcPr>
            <w:tcW w:w="517"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1.5.2.2</w:t>
            </w:r>
          </w:p>
        </w:tc>
        <w:tc>
          <w:tcPr>
            <w:tcW w:w="3026" w:type="pct"/>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страхование машин и оборудования</w:t>
            </w:r>
          </w:p>
        </w:tc>
        <w:tc>
          <w:tcPr>
            <w:tcW w:w="675"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тыс. руб. </w:t>
            </w:r>
          </w:p>
        </w:tc>
        <w:tc>
          <w:tcPr>
            <w:tcW w:w="782"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1 009,93</w:t>
            </w:r>
          </w:p>
        </w:tc>
      </w:tr>
      <w:tr w:rsidR="00171D1D" w:rsidRPr="00592BA7" w:rsidTr="00592BA7">
        <w:trPr>
          <w:trHeight w:val="225"/>
        </w:trPr>
        <w:tc>
          <w:tcPr>
            <w:tcW w:w="517"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1.5.3</w:t>
            </w:r>
          </w:p>
        </w:tc>
        <w:tc>
          <w:tcPr>
            <w:tcW w:w="3026" w:type="pct"/>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Налоги, в том числе:</w:t>
            </w:r>
          </w:p>
        </w:tc>
        <w:tc>
          <w:tcPr>
            <w:tcW w:w="675"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тыс. руб. </w:t>
            </w:r>
          </w:p>
        </w:tc>
        <w:tc>
          <w:tcPr>
            <w:tcW w:w="782"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44 571,22</w:t>
            </w:r>
          </w:p>
        </w:tc>
      </w:tr>
      <w:tr w:rsidR="00171D1D" w:rsidRPr="00592BA7" w:rsidTr="00592BA7">
        <w:trPr>
          <w:trHeight w:val="225"/>
        </w:trPr>
        <w:tc>
          <w:tcPr>
            <w:tcW w:w="517"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1.5.3.1</w:t>
            </w:r>
          </w:p>
        </w:tc>
        <w:tc>
          <w:tcPr>
            <w:tcW w:w="3026" w:type="pct"/>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налог на имущество</w:t>
            </w:r>
          </w:p>
        </w:tc>
        <w:tc>
          <w:tcPr>
            <w:tcW w:w="675"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тыс. руб. </w:t>
            </w:r>
          </w:p>
        </w:tc>
        <w:tc>
          <w:tcPr>
            <w:tcW w:w="782"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43 101,78</w:t>
            </w:r>
          </w:p>
        </w:tc>
      </w:tr>
      <w:tr w:rsidR="00171D1D" w:rsidRPr="00592BA7" w:rsidTr="00592BA7">
        <w:trPr>
          <w:trHeight w:val="225"/>
        </w:trPr>
        <w:tc>
          <w:tcPr>
            <w:tcW w:w="517"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1.5.3.2</w:t>
            </w:r>
          </w:p>
        </w:tc>
        <w:tc>
          <w:tcPr>
            <w:tcW w:w="3026" w:type="pct"/>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единый транспортный налог</w:t>
            </w:r>
          </w:p>
        </w:tc>
        <w:tc>
          <w:tcPr>
            <w:tcW w:w="675"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тыс. руб. </w:t>
            </w:r>
          </w:p>
        </w:tc>
        <w:tc>
          <w:tcPr>
            <w:tcW w:w="782"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1 140,46</w:t>
            </w:r>
          </w:p>
        </w:tc>
      </w:tr>
      <w:tr w:rsidR="00171D1D" w:rsidRPr="00592BA7" w:rsidTr="00592BA7">
        <w:trPr>
          <w:trHeight w:val="225"/>
        </w:trPr>
        <w:tc>
          <w:tcPr>
            <w:tcW w:w="517"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1.5.3.3</w:t>
            </w:r>
          </w:p>
        </w:tc>
        <w:tc>
          <w:tcPr>
            <w:tcW w:w="3026" w:type="pct"/>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земельный налог</w:t>
            </w:r>
          </w:p>
        </w:tc>
        <w:tc>
          <w:tcPr>
            <w:tcW w:w="675"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тыс. руб. </w:t>
            </w:r>
          </w:p>
        </w:tc>
        <w:tc>
          <w:tcPr>
            <w:tcW w:w="782"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328,97</w:t>
            </w:r>
          </w:p>
        </w:tc>
      </w:tr>
      <w:tr w:rsidR="00171D1D" w:rsidRPr="00592BA7" w:rsidTr="00592BA7">
        <w:trPr>
          <w:trHeight w:val="225"/>
        </w:trPr>
        <w:tc>
          <w:tcPr>
            <w:tcW w:w="517"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1.5.4</w:t>
            </w:r>
          </w:p>
        </w:tc>
        <w:tc>
          <w:tcPr>
            <w:tcW w:w="3026" w:type="pct"/>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Услуги сторонних организаций</w:t>
            </w:r>
          </w:p>
        </w:tc>
        <w:tc>
          <w:tcPr>
            <w:tcW w:w="675"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тыс. руб. </w:t>
            </w:r>
          </w:p>
        </w:tc>
        <w:tc>
          <w:tcPr>
            <w:tcW w:w="782"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40 823,85</w:t>
            </w:r>
          </w:p>
        </w:tc>
      </w:tr>
      <w:tr w:rsidR="00171D1D" w:rsidRPr="00592BA7" w:rsidTr="00592BA7">
        <w:trPr>
          <w:trHeight w:val="225"/>
        </w:trPr>
        <w:tc>
          <w:tcPr>
            <w:tcW w:w="517"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1.5.4.1</w:t>
            </w:r>
          </w:p>
        </w:tc>
        <w:tc>
          <w:tcPr>
            <w:tcW w:w="3026" w:type="pct"/>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услуги средств связи</w:t>
            </w:r>
          </w:p>
        </w:tc>
        <w:tc>
          <w:tcPr>
            <w:tcW w:w="675"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тыс. руб. </w:t>
            </w:r>
          </w:p>
        </w:tc>
        <w:tc>
          <w:tcPr>
            <w:tcW w:w="782"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2 951,69</w:t>
            </w:r>
          </w:p>
        </w:tc>
      </w:tr>
      <w:tr w:rsidR="00171D1D" w:rsidRPr="00592BA7" w:rsidTr="00592BA7">
        <w:trPr>
          <w:trHeight w:val="225"/>
        </w:trPr>
        <w:tc>
          <w:tcPr>
            <w:tcW w:w="517"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1.5.4.2</w:t>
            </w:r>
          </w:p>
        </w:tc>
        <w:tc>
          <w:tcPr>
            <w:tcW w:w="3026" w:type="pct"/>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оплата вневедомственной охраны</w:t>
            </w:r>
          </w:p>
        </w:tc>
        <w:tc>
          <w:tcPr>
            <w:tcW w:w="675"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тыс. руб. </w:t>
            </w:r>
          </w:p>
        </w:tc>
        <w:tc>
          <w:tcPr>
            <w:tcW w:w="782"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15,93</w:t>
            </w:r>
          </w:p>
        </w:tc>
      </w:tr>
      <w:tr w:rsidR="00171D1D" w:rsidRPr="00592BA7" w:rsidTr="00592BA7">
        <w:trPr>
          <w:trHeight w:val="225"/>
        </w:trPr>
        <w:tc>
          <w:tcPr>
            <w:tcW w:w="517"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1.5.4.3</w:t>
            </w:r>
          </w:p>
        </w:tc>
        <w:tc>
          <w:tcPr>
            <w:tcW w:w="3026" w:type="pct"/>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информационно-вычислительные услуги</w:t>
            </w:r>
          </w:p>
        </w:tc>
        <w:tc>
          <w:tcPr>
            <w:tcW w:w="675"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тыс. руб. </w:t>
            </w:r>
          </w:p>
        </w:tc>
        <w:tc>
          <w:tcPr>
            <w:tcW w:w="782"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2 684,94</w:t>
            </w:r>
          </w:p>
        </w:tc>
      </w:tr>
      <w:tr w:rsidR="00171D1D" w:rsidRPr="00592BA7" w:rsidTr="00592BA7">
        <w:trPr>
          <w:trHeight w:val="225"/>
        </w:trPr>
        <w:tc>
          <w:tcPr>
            <w:tcW w:w="517"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1.5.4.4</w:t>
            </w:r>
          </w:p>
        </w:tc>
        <w:tc>
          <w:tcPr>
            <w:tcW w:w="3026" w:type="pct"/>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аудиторские услуги</w:t>
            </w:r>
          </w:p>
        </w:tc>
        <w:tc>
          <w:tcPr>
            <w:tcW w:w="675"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тыс. руб. </w:t>
            </w:r>
          </w:p>
        </w:tc>
        <w:tc>
          <w:tcPr>
            <w:tcW w:w="782"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826,03</w:t>
            </w:r>
          </w:p>
        </w:tc>
      </w:tr>
      <w:tr w:rsidR="00171D1D" w:rsidRPr="00592BA7" w:rsidTr="00592BA7">
        <w:trPr>
          <w:trHeight w:val="225"/>
        </w:trPr>
        <w:tc>
          <w:tcPr>
            <w:tcW w:w="517"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1.5.4.5</w:t>
            </w:r>
          </w:p>
        </w:tc>
        <w:tc>
          <w:tcPr>
            <w:tcW w:w="3026" w:type="pct"/>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прочие, в том числе:</w:t>
            </w:r>
          </w:p>
        </w:tc>
        <w:tc>
          <w:tcPr>
            <w:tcW w:w="675"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тыс. руб. </w:t>
            </w:r>
          </w:p>
        </w:tc>
        <w:tc>
          <w:tcPr>
            <w:tcW w:w="782"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34 345,26</w:t>
            </w:r>
          </w:p>
        </w:tc>
      </w:tr>
      <w:tr w:rsidR="00171D1D" w:rsidRPr="00592BA7" w:rsidTr="00592BA7">
        <w:trPr>
          <w:trHeight w:val="225"/>
        </w:trPr>
        <w:tc>
          <w:tcPr>
            <w:tcW w:w="517"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1.5.4.5.1</w:t>
            </w:r>
          </w:p>
        </w:tc>
        <w:tc>
          <w:tcPr>
            <w:tcW w:w="3026" w:type="pct"/>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услуги по техническому обслуживанию газораспределительных сетей</w:t>
            </w:r>
          </w:p>
        </w:tc>
        <w:tc>
          <w:tcPr>
            <w:tcW w:w="675"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тыс. руб. </w:t>
            </w:r>
          </w:p>
        </w:tc>
        <w:tc>
          <w:tcPr>
            <w:tcW w:w="782"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1 604,00</w:t>
            </w:r>
          </w:p>
        </w:tc>
      </w:tr>
      <w:tr w:rsidR="00171D1D" w:rsidRPr="00592BA7" w:rsidTr="00592BA7">
        <w:trPr>
          <w:trHeight w:val="450"/>
        </w:trPr>
        <w:tc>
          <w:tcPr>
            <w:tcW w:w="517"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1.5.4.5.2</w:t>
            </w:r>
          </w:p>
        </w:tc>
        <w:tc>
          <w:tcPr>
            <w:tcW w:w="3026" w:type="pct"/>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услуги по диагностированию газораспределительных пунктов, шкафных регуляторных пунктов, подземных газопроводов и обследованию дюкеров</w:t>
            </w:r>
          </w:p>
        </w:tc>
        <w:tc>
          <w:tcPr>
            <w:tcW w:w="675"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тыс. руб. </w:t>
            </w:r>
          </w:p>
        </w:tc>
        <w:tc>
          <w:tcPr>
            <w:tcW w:w="782"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15 512,55</w:t>
            </w:r>
          </w:p>
        </w:tc>
      </w:tr>
      <w:tr w:rsidR="00171D1D" w:rsidRPr="00592BA7" w:rsidTr="00592BA7">
        <w:trPr>
          <w:trHeight w:val="225"/>
        </w:trPr>
        <w:tc>
          <w:tcPr>
            <w:tcW w:w="517"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1.5.4.5.3</w:t>
            </w:r>
          </w:p>
        </w:tc>
        <w:tc>
          <w:tcPr>
            <w:tcW w:w="3026" w:type="pct"/>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услуги по регистрации объектов газораспределения</w:t>
            </w:r>
          </w:p>
        </w:tc>
        <w:tc>
          <w:tcPr>
            <w:tcW w:w="675"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тыс. руб. </w:t>
            </w:r>
          </w:p>
        </w:tc>
        <w:tc>
          <w:tcPr>
            <w:tcW w:w="782"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5 436,35</w:t>
            </w:r>
          </w:p>
        </w:tc>
      </w:tr>
      <w:tr w:rsidR="00171D1D" w:rsidRPr="00592BA7" w:rsidTr="00592BA7">
        <w:trPr>
          <w:trHeight w:val="225"/>
        </w:trPr>
        <w:tc>
          <w:tcPr>
            <w:tcW w:w="517"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1.5.4.5.4</w:t>
            </w:r>
          </w:p>
        </w:tc>
        <w:tc>
          <w:tcPr>
            <w:tcW w:w="3026" w:type="pct"/>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прочие</w:t>
            </w:r>
          </w:p>
        </w:tc>
        <w:tc>
          <w:tcPr>
            <w:tcW w:w="675"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тыс. руб. </w:t>
            </w:r>
          </w:p>
        </w:tc>
        <w:tc>
          <w:tcPr>
            <w:tcW w:w="782"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11 792,36</w:t>
            </w:r>
          </w:p>
        </w:tc>
      </w:tr>
      <w:tr w:rsidR="00171D1D" w:rsidRPr="00592BA7" w:rsidTr="00592BA7">
        <w:trPr>
          <w:trHeight w:val="225"/>
        </w:trPr>
        <w:tc>
          <w:tcPr>
            <w:tcW w:w="517"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1.5.5</w:t>
            </w:r>
          </w:p>
        </w:tc>
        <w:tc>
          <w:tcPr>
            <w:tcW w:w="3026" w:type="pct"/>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Капитальный ремонт</w:t>
            </w:r>
          </w:p>
        </w:tc>
        <w:tc>
          <w:tcPr>
            <w:tcW w:w="675"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тыс. руб. </w:t>
            </w:r>
          </w:p>
        </w:tc>
        <w:tc>
          <w:tcPr>
            <w:tcW w:w="782"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5 593,87</w:t>
            </w:r>
          </w:p>
        </w:tc>
      </w:tr>
      <w:tr w:rsidR="00171D1D" w:rsidRPr="00592BA7" w:rsidTr="00592BA7">
        <w:trPr>
          <w:trHeight w:val="225"/>
        </w:trPr>
        <w:tc>
          <w:tcPr>
            <w:tcW w:w="517"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1.5.6</w:t>
            </w:r>
          </w:p>
        </w:tc>
        <w:tc>
          <w:tcPr>
            <w:tcW w:w="3026" w:type="pct"/>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Другие затраты, в том числе:</w:t>
            </w:r>
          </w:p>
        </w:tc>
        <w:tc>
          <w:tcPr>
            <w:tcW w:w="675"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тыс. руб. </w:t>
            </w:r>
          </w:p>
        </w:tc>
        <w:tc>
          <w:tcPr>
            <w:tcW w:w="782"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17 044,41</w:t>
            </w:r>
          </w:p>
        </w:tc>
      </w:tr>
      <w:tr w:rsidR="00171D1D" w:rsidRPr="00592BA7" w:rsidTr="00592BA7">
        <w:trPr>
          <w:trHeight w:val="225"/>
        </w:trPr>
        <w:tc>
          <w:tcPr>
            <w:tcW w:w="517"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1.5.6.1</w:t>
            </w:r>
          </w:p>
        </w:tc>
        <w:tc>
          <w:tcPr>
            <w:tcW w:w="3026" w:type="pct"/>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командировочные расходы</w:t>
            </w:r>
          </w:p>
        </w:tc>
        <w:tc>
          <w:tcPr>
            <w:tcW w:w="675"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тыс. руб. </w:t>
            </w:r>
          </w:p>
        </w:tc>
        <w:tc>
          <w:tcPr>
            <w:tcW w:w="782"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628,78</w:t>
            </w:r>
          </w:p>
        </w:tc>
      </w:tr>
      <w:tr w:rsidR="00171D1D" w:rsidRPr="00592BA7" w:rsidTr="00592BA7">
        <w:trPr>
          <w:trHeight w:val="225"/>
        </w:trPr>
        <w:tc>
          <w:tcPr>
            <w:tcW w:w="517"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1.5.6.2</w:t>
            </w:r>
          </w:p>
        </w:tc>
        <w:tc>
          <w:tcPr>
            <w:tcW w:w="3026" w:type="pct"/>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охрана труда и подготовка кадров</w:t>
            </w:r>
          </w:p>
        </w:tc>
        <w:tc>
          <w:tcPr>
            <w:tcW w:w="675"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тыс. руб. </w:t>
            </w:r>
          </w:p>
        </w:tc>
        <w:tc>
          <w:tcPr>
            <w:tcW w:w="782"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7 268,08</w:t>
            </w:r>
          </w:p>
        </w:tc>
      </w:tr>
      <w:tr w:rsidR="00171D1D" w:rsidRPr="00592BA7" w:rsidTr="00592BA7">
        <w:trPr>
          <w:trHeight w:val="225"/>
        </w:trPr>
        <w:tc>
          <w:tcPr>
            <w:tcW w:w="517"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1.5.6.3</w:t>
            </w:r>
          </w:p>
        </w:tc>
        <w:tc>
          <w:tcPr>
            <w:tcW w:w="3026" w:type="pct"/>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канцелярские и почтово-телеграфные расходы</w:t>
            </w:r>
          </w:p>
        </w:tc>
        <w:tc>
          <w:tcPr>
            <w:tcW w:w="675"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тыс. руб. </w:t>
            </w:r>
          </w:p>
        </w:tc>
        <w:tc>
          <w:tcPr>
            <w:tcW w:w="782"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2 658,75</w:t>
            </w:r>
          </w:p>
        </w:tc>
      </w:tr>
      <w:tr w:rsidR="00171D1D" w:rsidRPr="00592BA7" w:rsidTr="00592BA7">
        <w:trPr>
          <w:trHeight w:val="225"/>
        </w:trPr>
        <w:tc>
          <w:tcPr>
            <w:tcW w:w="517"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1.5.6.4</w:t>
            </w:r>
          </w:p>
        </w:tc>
        <w:tc>
          <w:tcPr>
            <w:tcW w:w="3026" w:type="pct"/>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НИОКР</w:t>
            </w:r>
          </w:p>
        </w:tc>
        <w:tc>
          <w:tcPr>
            <w:tcW w:w="675"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тыс. руб. </w:t>
            </w:r>
          </w:p>
        </w:tc>
        <w:tc>
          <w:tcPr>
            <w:tcW w:w="782"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0,00</w:t>
            </w:r>
          </w:p>
        </w:tc>
      </w:tr>
      <w:tr w:rsidR="00171D1D" w:rsidRPr="00592BA7" w:rsidTr="00592BA7">
        <w:trPr>
          <w:trHeight w:val="225"/>
        </w:trPr>
        <w:tc>
          <w:tcPr>
            <w:tcW w:w="517"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1.5.6.5</w:t>
            </w:r>
          </w:p>
        </w:tc>
        <w:tc>
          <w:tcPr>
            <w:tcW w:w="3026" w:type="pct"/>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затраты по оплате услуг по транспортировке транзитных потоков газа</w:t>
            </w:r>
          </w:p>
        </w:tc>
        <w:tc>
          <w:tcPr>
            <w:tcW w:w="675"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тыс. руб. </w:t>
            </w:r>
          </w:p>
        </w:tc>
        <w:tc>
          <w:tcPr>
            <w:tcW w:w="782"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0,00</w:t>
            </w:r>
          </w:p>
        </w:tc>
      </w:tr>
      <w:tr w:rsidR="00171D1D" w:rsidRPr="00592BA7" w:rsidTr="00592BA7">
        <w:trPr>
          <w:trHeight w:val="225"/>
        </w:trPr>
        <w:tc>
          <w:tcPr>
            <w:tcW w:w="517"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1.5.6.6</w:t>
            </w:r>
          </w:p>
        </w:tc>
        <w:tc>
          <w:tcPr>
            <w:tcW w:w="3026" w:type="pct"/>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прочие</w:t>
            </w:r>
          </w:p>
        </w:tc>
        <w:tc>
          <w:tcPr>
            <w:tcW w:w="675"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тыс. руб. </w:t>
            </w:r>
          </w:p>
        </w:tc>
        <w:tc>
          <w:tcPr>
            <w:tcW w:w="782"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6 488,81</w:t>
            </w:r>
          </w:p>
        </w:tc>
      </w:tr>
      <w:tr w:rsidR="00171D1D" w:rsidRPr="00592BA7" w:rsidTr="00592BA7">
        <w:trPr>
          <w:trHeight w:val="225"/>
        </w:trPr>
        <w:tc>
          <w:tcPr>
            <w:tcW w:w="517"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w:t>
            </w:r>
          </w:p>
        </w:tc>
        <w:tc>
          <w:tcPr>
            <w:tcW w:w="3026" w:type="pct"/>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Прочие доходы</w:t>
            </w:r>
          </w:p>
        </w:tc>
        <w:tc>
          <w:tcPr>
            <w:tcW w:w="675"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тыс. руб. </w:t>
            </w:r>
          </w:p>
        </w:tc>
        <w:tc>
          <w:tcPr>
            <w:tcW w:w="782"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13 772,60</w:t>
            </w:r>
          </w:p>
        </w:tc>
      </w:tr>
      <w:tr w:rsidR="00171D1D" w:rsidRPr="00592BA7" w:rsidTr="00592BA7">
        <w:trPr>
          <w:trHeight w:val="225"/>
        </w:trPr>
        <w:tc>
          <w:tcPr>
            <w:tcW w:w="517"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w:t>
            </w:r>
          </w:p>
        </w:tc>
        <w:tc>
          <w:tcPr>
            <w:tcW w:w="3026" w:type="pct"/>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Прочие расходы</w:t>
            </w:r>
          </w:p>
        </w:tc>
        <w:tc>
          <w:tcPr>
            <w:tcW w:w="675"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тыс. руб. </w:t>
            </w:r>
          </w:p>
        </w:tc>
        <w:tc>
          <w:tcPr>
            <w:tcW w:w="782"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15 085,57</w:t>
            </w:r>
          </w:p>
        </w:tc>
      </w:tr>
      <w:tr w:rsidR="00171D1D" w:rsidRPr="00592BA7" w:rsidTr="00592BA7">
        <w:trPr>
          <w:trHeight w:val="225"/>
        </w:trPr>
        <w:tc>
          <w:tcPr>
            <w:tcW w:w="517"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3.1</w:t>
            </w:r>
          </w:p>
        </w:tc>
        <w:tc>
          <w:tcPr>
            <w:tcW w:w="3026" w:type="pct"/>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Услуги банков</w:t>
            </w:r>
          </w:p>
        </w:tc>
        <w:tc>
          <w:tcPr>
            <w:tcW w:w="675"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тыс. руб. </w:t>
            </w:r>
          </w:p>
        </w:tc>
        <w:tc>
          <w:tcPr>
            <w:tcW w:w="782"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1 806,41</w:t>
            </w:r>
          </w:p>
        </w:tc>
      </w:tr>
      <w:tr w:rsidR="00171D1D" w:rsidRPr="00592BA7" w:rsidTr="00592BA7">
        <w:trPr>
          <w:trHeight w:val="225"/>
        </w:trPr>
        <w:tc>
          <w:tcPr>
            <w:tcW w:w="517"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3.2</w:t>
            </w:r>
          </w:p>
        </w:tc>
        <w:tc>
          <w:tcPr>
            <w:tcW w:w="3026" w:type="pct"/>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Проценты по целевым краткосрочным кредитам</w:t>
            </w:r>
          </w:p>
        </w:tc>
        <w:tc>
          <w:tcPr>
            <w:tcW w:w="675"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тыс. руб. </w:t>
            </w:r>
          </w:p>
        </w:tc>
        <w:tc>
          <w:tcPr>
            <w:tcW w:w="782"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0,00</w:t>
            </w:r>
          </w:p>
        </w:tc>
      </w:tr>
      <w:tr w:rsidR="00171D1D" w:rsidRPr="00592BA7" w:rsidTr="00592BA7">
        <w:trPr>
          <w:trHeight w:val="225"/>
        </w:trPr>
        <w:tc>
          <w:tcPr>
            <w:tcW w:w="517"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3.3</w:t>
            </w:r>
          </w:p>
        </w:tc>
        <w:tc>
          <w:tcPr>
            <w:tcW w:w="3026" w:type="pct"/>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Социальное развитие и выплаты социального характера</w:t>
            </w:r>
          </w:p>
        </w:tc>
        <w:tc>
          <w:tcPr>
            <w:tcW w:w="675"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тыс. руб. </w:t>
            </w:r>
          </w:p>
        </w:tc>
        <w:tc>
          <w:tcPr>
            <w:tcW w:w="782"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12 954,09</w:t>
            </w:r>
          </w:p>
        </w:tc>
      </w:tr>
      <w:tr w:rsidR="00171D1D" w:rsidRPr="00592BA7" w:rsidTr="00592BA7">
        <w:trPr>
          <w:trHeight w:val="225"/>
        </w:trPr>
        <w:tc>
          <w:tcPr>
            <w:tcW w:w="517"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3.4</w:t>
            </w:r>
          </w:p>
        </w:tc>
        <w:tc>
          <w:tcPr>
            <w:tcW w:w="3026" w:type="pct"/>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Резерв по сомнительным долгам</w:t>
            </w:r>
          </w:p>
        </w:tc>
        <w:tc>
          <w:tcPr>
            <w:tcW w:w="675"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тыс. руб. </w:t>
            </w:r>
          </w:p>
        </w:tc>
        <w:tc>
          <w:tcPr>
            <w:tcW w:w="782"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0,00</w:t>
            </w:r>
          </w:p>
        </w:tc>
      </w:tr>
      <w:tr w:rsidR="00171D1D" w:rsidRPr="00592BA7" w:rsidTr="00592BA7">
        <w:trPr>
          <w:trHeight w:val="225"/>
        </w:trPr>
        <w:tc>
          <w:tcPr>
            <w:tcW w:w="517"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3.5</w:t>
            </w:r>
          </w:p>
        </w:tc>
        <w:tc>
          <w:tcPr>
            <w:tcW w:w="3026" w:type="pct"/>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Прочие</w:t>
            </w:r>
          </w:p>
        </w:tc>
        <w:tc>
          <w:tcPr>
            <w:tcW w:w="675"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тыс. руб. </w:t>
            </w:r>
          </w:p>
        </w:tc>
        <w:tc>
          <w:tcPr>
            <w:tcW w:w="782"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325,07</w:t>
            </w:r>
          </w:p>
        </w:tc>
      </w:tr>
      <w:tr w:rsidR="00171D1D" w:rsidRPr="00592BA7" w:rsidTr="00592BA7">
        <w:trPr>
          <w:trHeight w:val="225"/>
        </w:trPr>
        <w:tc>
          <w:tcPr>
            <w:tcW w:w="517"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4</w:t>
            </w:r>
          </w:p>
        </w:tc>
        <w:tc>
          <w:tcPr>
            <w:tcW w:w="3026" w:type="pct"/>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Общий объем тарифной выручки</w:t>
            </w:r>
          </w:p>
        </w:tc>
        <w:tc>
          <w:tcPr>
            <w:tcW w:w="675"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тыс. руб. </w:t>
            </w:r>
          </w:p>
        </w:tc>
        <w:tc>
          <w:tcPr>
            <w:tcW w:w="782"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1 367 891,71</w:t>
            </w:r>
          </w:p>
        </w:tc>
      </w:tr>
      <w:tr w:rsidR="00171D1D" w:rsidRPr="00592BA7" w:rsidTr="00592BA7">
        <w:trPr>
          <w:trHeight w:val="289"/>
        </w:trPr>
        <w:tc>
          <w:tcPr>
            <w:tcW w:w="517"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026" w:type="pct"/>
            <w:shd w:val="clear" w:color="auto" w:fill="auto"/>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Справочная информация</w:t>
            </w:r>
          </w:p>
        </w:tc>
        <w:tc>
          <w:tcPr>
            <w:tcW w:w="675" w:type="pct"/>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782" w:type="pct"/>
            <w:vAlign w:val="center"/>
          </w:tcPr>
          <w:p w:rsidR="00171D1D" w:rsidRPr="00592BA7" w:rsidRDefault="00171D1D" w:rsidP="00592BA7">
            <w:pPr>
              <w:jc w:val="both"/>
              <w:rPr>
                <w:rFonts w:ascii="Times New Roman" w:hAnsi="Times New Roman" w:cs="Times New Roman"/>
                <w:sz w:val="20"/>
                <w:szCs w:val="20"/>
                <w:lang w:eastAsia="ru-RU"/>
              </w:rPr>
            </w:pPr>
          </w:p>
        </w:tc>
      </w:tr>
      <w:tr w:rsidR="00171D1D" w:rsidRPr="00592BA7" w:rsidTr="00592BA7">
        <w:trPr>
          <w:trHeight w:val="225"/>
        </w:trPr>
        <w:tc>
          <w:tcPr>
            <w:tcW w:w="517"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w:t>
            </w:r>
          </w:p>
        </w:tc>
        <w:tc>
          <w:tcPr>
            <w:tcW w:w="3026" w:type="pct"/>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Численность персонала, занятого в регулируемом виде деятельности</w:t>
            </w:r>
          </w:p>
        </w:tc>
        <w:tc>
          <w:tcPr>
            <w:tcW w:w="675"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человек </w:t>
            </w:r>
          </w:p>
        </w:tc>
        <w:tc>
          <w:tcPr>
            <w:tcW w:w="782"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1 107</w:t>
            </w:r>
          </w:p>
        </w:tc>
      </w:tr>
      <w:tr w:rsidR="00171D1D" w:rsidRPr="00592BA7" w:rsidTr="00592BA7">
        <w:trPr>
          <w:trHeight w:val="225"/>
        </w:trPr>
        <w:tc>
          <w:tcPr>
            <w:tcW w:w="517"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w:t>
            </w:r>
          </w:p>
        </w:tc>
        <w:tc>
          <w:tcPr>
            <w:tcW w:w="3026" w:type="pct"/>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Протяженность трубопроводов</w:t>
            </w:r>
          </w:p>
        </w:tc>
        <w:tc>
          <w:tcPr>
            <w:tcW w:w="675"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км </w:t>
            </w:r>
          </w:p>
        </w:tc>
        <w:tc>
          <w:tcPr>
            <w:tcW w:w="782"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13 093,49</w:t>
            </w:r>
          </w:p>
        </w:tc>
      </w:tr>
      <w:tr w:rsidR="00171D1D" w:rsidRPr="00592BA7" w:rsidTr="00592BA7">
        <w:trPr>
          <w:trHeight w:val="225"/>
        </w:trPr>
        <w:tc>
          <w:tcPr>
            <w:tcW w:w="517"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3</w:t>
            </w:r>
          </w:p>
        </w:tc>
        <w:tc>
          <w:tcPr>
            <w:tcW w:w="3026" w:type="pct"/>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Количество газорегуляторных пунктов</w:t>
            </w:r>
          </w:p>
        </w:tc>
        <w:tc>
          <w:tcPr>
            <w:tcW w:w="675"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единиц </w:t>
            </w:r>
          </w:p>
        </w:tc>
        <w:tc>
          <w:tcPr>
            <w:tcW w:w="782"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1 856</w:t>
            </w:r>
          </w:p>
        </w:tc>
      </w:tr>
      <w:tr w:rsidR="00171D1D" w:rsidRPr="00592BA7" w:rsidTr="00592BA7">
        <w:trPr>
          <w:trHeight w:val="225"/>
        </w:trPr>
        <w:tc>
          <w:tcPr>
            <w:tcW w:w="517"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4</w:t>
            </w:r>
          </w:p>
        </w:tc>
        <w:tc>
          <w:tcPr>
            <w:tcW w:w="3026" w:type="pct"/>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Средняя загрузка трубопроводов</w:t>
            </w:r>
          </w:p>
        </w:tc>
        <w:tc>
          <w:tcPr>
            <w:tcW w:w="675"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 </w:t>
            </w:r>
          </w:p>
        </w:tc>
        <w:tc>
          <w:tcPr>
            <w:tcW w:w="782"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39</w:t>
            </w:r>
          </w:p>
        </w:tc>
      </w:tr>
    </w:tbl>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Согласно постановлению Государственной службы Чувашской Республики по конкурентной политике и тарифам от 12 декабря 2023 г. № 73-21/г «Об утверждении розничных цен на газ, реализуемый населению», розничные цены  за  природный  газ  с 01  января  по  30  июня 2024 г. и с 01 июля 2024 г. составляют:</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Таблица 3.3.3.2</w:t>
      </w:r>
    </w:p>
    <w:tbl>
      <w:tblPr>
        <w:tblW w:w="5000" w:type="pct"/>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433"/>
        <w:gridCol w:w="6309"/>
        <w:gridCol w:w="1621"/>
        <w:gridCol w:w="1619"/>
      </w:tblGrid>
      <w:tr w:rsidR="00171D1D" w:rsidRPr="00592BA7" w:rsidTr="00592BA7">
        <w:tc>
          <w:tcPr>
            <w:tcW w:w="217" w:type="pct"/>
            <w:tcBorders>
              <w:top w:val="single" w:sz="6" w:space="0" w:color="000000"/>
              <w:left w:val="single" w:sz="6" w:space="0" w:color="000000"/>
              <w:bottom w:val="single" w:sz="6" w:space="0" w:color="000000"/>
              <w:right w:val="single" w:sz="6" w:space="0" w:color="000000"/>
            </w:tcBorders>
            <w:shd w:val="clear" w:color="auto" w:fill="FFFFFF"/>
            <w:tcMar>
              <w:top w:w="45" w:type="dxa"/>
              <w:left w:w="45" w:type="dxa"/>
              <w:bottom w:w="45" w:type="dxa"/>
              <w:right w:w="300" w:type="dxa"/>
            </w:tcMar>
            <w:hideMark/>
          </w:tcPr>
          <w:p w:rsidR="00171D1D" w:rsidRPr="00592BA7" w:rsidRDefault="00171D1D" w:rsidP="00592BA7">
            <w:pPr>
              <w:jc w:val="both"/>
              <w:rPr>
                <w:rFonts w:ascii="Times New Roman" w:hAnsi="Times New Roman" w:cs="Times New Roman"/>
                <w:sz w:val="20"/>
                <w:szCs w:val="20"/>
                <w:lang w:eastAsia="ru-RU"/>
              </w:rPr>
            </w:pPr>
          </w:p>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 </w:t>
            </w:r>
          </w:p>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п/п</w:t>
            </w:r>
          </w:p>
        </w:tc>
        <w:tc>
          <w:tcPr>
            <w:tcW w:w="3160" w:type="pct"/>
            <w:tcBorders>
              <w:top w:val="single" w:sz="6" w:space="0" w:color="000000"/>
              <w:left w:val="nil"/>
              <w:bottom w:val="single" w:sz="6" w:space="0" w:color="000000"/>
              <w:right w:val="single" w:sz="6" w:space="0" w:color="000000"/>
            </w:tcBorders>
            <w:shd w:val="clear" w:color="auto" w:fill="FFFFFF"/>
            <w:tcMar>
              <w:top w:w="45" w:type="dxa"/>
              <w:left w:w="45" w:type="dxa"/>
              <w:bottom w:w="45" w:type="dxa"/>
              <w:right w:w="300" w:type="dxa"/>
            </w:tcMar>
            <w:hideMark/>
          </w:tcPr>
          <w:p w:rsidR="00171D1D" w:rsidRPr="00592BA7" w:rsidRDefault="00171D1D" w:rsidP="00592BA7">
            <w:pPr>
              <w:jc w:val="both"/>
              <w:rPr>
                <w:rFonts w:ascii="Times New Roman" w:hAnsi="Times New Roman" w:cs="Times New Roman"/>
                <w:sz w:val="20"/>
                <w:szCs w:val="20"/>
                <w:lang w:eastAsia="ru-RU"/>
              </w:rPr>
            </w:pPr>
          </w:p>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Направления использования газа</w:t>
            </w:r>
          </w:p>
        </w:tc>
        <w:tc>
          <w:tcPr>
            <w:tcW w:w="812" w:type="pct"/>
            <w:tcBorders>
              <w:top w:val="single" w:sz="6" w:space="0" w:color="000000"/>
              <w:left w:val="nil"/>
              <w:bottom w:val="single" w:sz="6" w:space="0" w:color="000000"/>
              <w:right w:val="single" w:sz="6" w:space="0" w:color="000000"/>
            </w:tcBorders>
            <w:shd w:val="clear" w:color="auto" w:fill="FFFFFF"/>
            <w:tcMar>
              <w:top w:w="45" w:type="dxa"/>
              <w:left w:w="45" w:type="dxa"/>
              <w:bottom w:w="45" w:type="dxa"/>
              <w:right w:w="300" w:type="dxa"/>
            </w:tcMar>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Розничные цены с 01.01.2024 по 30.06.2024 (с НДС), рублей</w:t>
            </w:r>
          </w:p>
        </w:tc>
        <w:tc>
          <w:tcPr>
            <w:tcW w:w="811" w:type="pct"/>
            <w:tcBorders>
              <w:top w:val="single" w:sz="6" w:space="0" w:color="000000"/>
              <w:left w:val="nil"/>
              <w:bottom w:val="single" w:sz="6" w:space="0" w:color="000000"/>
              <w:right w:val="single" w:sz="6" w:space="0" w:color="000000"/>
            </w:tcBorders>
            <w:shd w:val="clear" w:color="auto" w:fill="FFFFFF"/>
            <w:tcMar>
              <w:top w:w="45" w:type="dxa"/>
              <w:left w:w="45" w:type="dxa"/>
              <w:bottom w:w="45" w:type="dxa"/>
              <w:right w:w="300" w:type="dxa"/>
            </w:tcMar>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Розничные цены с 01.07.2024 (с НДС), рублей</w:t>
            </w:r>
          </w:p>
        </w:tc>
      </w:tr>
      <w:tr w:rsidR="00171D1D" w:rsidRPr="00592BA7" w:rsidTr="00592BA7">
        <w:trPr>
          <w:trHeight w:val="542"/>
        </w:trPr>
        <w:tc>
          <w:tcPr>
            <w:tcW w:w="217" w:type="pct"/>
            <w:tcBorders>
              <w:top w:val="nil"/>
              <w:left w:val="single" w:sz="6" w:space="0" w:color="000000"/>
              <w:bottom w:val="single" w:sz="6" w:space="0" w:color="000000"/>
              <w:right w:val="single" w:sz="6" w:space="0" w:color="000000"/>
            </w:tcBorders>
            <w:shd w:val="clear" w:color="auto" w:fill="FFFFFF"/>
            <w:tcMar>
              <w:top w:w="45" w:type="dxa"/>
              <w:left w:w="45" w:type="dxa"/>
              <w:bottom w:w="45" w:type="dxa"/>
              <w:right w:w="300" w:type="dxa"/>
            </w:tcMar>
            <w:hideMark/>
          </w:tcPr>
          <w:p w:rsidR="00171D1D" w:rsidRPr="00592BA7" w:rsidRDefault="00171D1D" w:rsidP="00592BA7">
            <w:pPr>
              <w:jc w:val="both"/>
              <w:rPr>
                <w:rFonts w:ascii="Times New Roman" w:hAnsi="Times New Roman" w:cs="Times New Roman"/>
                <w:sz w:val="20"/>
                <w:szCs w:val="20"/>
                <w:lang w:eastAsia="ru-RU"/>
              </w:rPr>
            </w:pPr>
          </w:p>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w:t>
            </w:r>
          </w:p>
        </w:tc>
        <w:tc>
          <w:tcPr>
            <w:tcW w:w="3160" w:type="pct"/>
            <w:tcBorders>
              <w:top w:val="nil"/>
              <w:left w:val="nil"/>
              <w:bottom w:val="single" w:sz="6" w:space="0" w:color="000000"/>
              <w:right w:val="single" w:sz="6" w:space="0" w:color="000000"/>
            </w:tcBorders>
            <w:shd w:val="clear" w:color="auto" w:fill="FFFFFF"/>
            <w:tcMar>
              <w:top w:w="45" w:type="dxa"/>
              <w:left w:w="45" w:type="dxa"/>
              <w:bottom w:w="45" w:type="dxa"/>
              <w:right w:w="300"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Газ, реализуемый на приготовление пищи и нагрев воды с использованием газовой плиты (в отсутствие других направлений использования газа), куб. м.</w:t>
            </w:r>
          </w:p>
        </w:tc>
        <w:tc>
          <w:tcPr>
            <w:tcW w:w="812" w:type="pct"/>
            <w:tcBorders>
              <w:top w:val="nil"/>
              <w:left w:val="nil"/>
              <w:bottom w:val="single" w:sz="6" w:space="0" w:color="000000"/>
              <w:right w:val="single" w:sz="6" w:space="0" w:color="000000"/>
            </w:tcBorders>
            <w:shd w:val="clear" w:color="auto" w:fill="FFFFFF"/>
            <w:tcMar>
              <w:top w:w="45" w:type="dxa"/>
              <w:left w:w="45" w:type="dxa"/>
              <w:bottom w:w="45" w:type="dxa"/>
              <w:right w:w="300" w:type="dxa"/>
            </w:tcMar>
            <w:hideMark/>
          </w:tcPr>
          <w:p w:rsidR="00171D1D" w:rsidRPr="00592BA7" w:rsidRDefault="00171D1D" w:rsidP="00592BA7">
            <w:pPr>
              <w:jc w:val="both"/>
              <w:rPr>
                <w:rFonts w:ascii="Times New Roman" w:hAnsi="Times New Roman" w:cs="Times New Roman"/>
                <w:sz w:val="20"/>
                <w:szCs w:val="20"/>
                <w:lang w:eastAsia="ru-RU"/>
              </w:rPr>
            </w:pPr>
          </w:p>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6,75</w:t>
            </w:r>
          </w:p>
        </w:tc>
        <w:tc>
          <w:tcPr>
            <w:tcW w:w="811" w:type="pct"/>
            <w:tcBorders>
              <w:top w:val="nil"/>
              <w:left w:val="nil"/>
              <w:bottom w:val="single" w:sz="6" w:space="0" w:color="000000"/>
              <w:right w:val="single" w:sz="6" w:space="0" w:color="000000"/>
            </w:tcBorders>
            <w:shd w:val="clear" w:color="auto" w:fill="FFFFFF"/>
            <w:tcMar>
              <w:top w:w="45" w:type="dxa"/>
              <w:left w:w="45" w:type="dxa"/>
              <w:bottom w:w="45" w:type="dxa"/>
              <w:right w:w="300" w:type="dxa"/>
            </w:tcMar>
            <w:hideMark/>
          </w:tcPr>
          <w:p w:rsidR="00171D1D" w:rsidRPr="00592BA7" w:rsidRDefault="00171D1D" w:rsidP="00592BA7">
            <w:pPr>
              <w:jc w:val="both"/>
              <w:rPr>
                <w:rFonts w:ascii="Times New Roman" w:hAnsi="Times New Roman" w:cs="Times New Roman"/>
                <w:sz w:val="20"/>
                <w:szCs w:val="20"/>
                <w:lang w:eastAsia="ru-RU"/>
              </w:rPr>
            </w:pPr>
          </w:p>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7,42</w:t>
            </w:r>
          </w:p>
        </w:tc>
      </w:tr>
      <w:tr w:rsidR="00171D1D" w:rsidRPr="00592BA7" w:rsidTr="00592BA7">
        <w:tc>
          <w:tcPr>
            <w:tcW w:w="217" w:type="pct"/>
            <w:tcBorders>
              <w:top w:val="nil"/>
              <w:left w:val="single" w:sz="6" w:space="0" w:color="000000"/>
              <w:bottom w:val="single" w:sz="6" w:space="0" w:color="000000"/>
              <w:right w:val="single" w:sz="6" w:space="0" w:color="000000"/>
            </w:tcBorders>
            <w:shd w:val="clear" w:color="auto" w:fill="FFFFFF"/>
            <w:tcMar>
              <w:top w:w="45" w:type="dxa"/>
              <w:left w:w="45" w:type="dxa"/>
              <w:bottom w:w="45" w:type="dxa"/>
              <w:right w:w="300" w:type="dxa"/>
            </w:tcMar>
            <w:hideMark/>
          </w:tcPr>
          <w:p w:rsidR="00171D1D" w:rsidRPr="00592BA7" w:rsidRDefault="00171D1D" w:rsidP="00592BA7">
            <w:pPr>
              <w:jc w:val="both"/>
              <w:rPr>
                <w:rFonts w:ascii="Times New Roman" w:hAnsi="Times New Roman" w:cs="Times New Roman"/>
                <w:sz w:val="20"/>
                <w:szCs w:val="20"/>
                <w:lang w:eastAsia="ru-RU"/>
              </w:rPr>
            </w:pPr>
          </w:p>
          <w:p w:rsidR="00171D1D" w:rsidRPr="00592BA7" w:rsidRDefault="00171D1D" w:rsidP="00592BA7">
            <w:pPr>
              <w:jc w:val="both"/>
              <w:rPr>
                <w:rFonts w:ascii="Times New Roman" w:hAnsi="Times New Roman" w:cs="Times New Roman"/>
                <w:sz w:val="20"/>
                <w:szCs w:val="20"/>
                <w:lang w:eastAsia="ru-RU"/>
              </w:rPr>
            </w:pPr>
          </w:p>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w:t>
            </w:r>
          </w:p>
        </w:tc>
        <w:tc>
          <w:tcPr>
            <w:tcW w:w="3160" w:type="pct"/>
            <w:tcBorders>
              <w:top w:val="nil"/>
              <w:left w:val="nil"/>
              <w:bottom w:val="single" w:sz="6" w:space="0" w:color="000000"/>
              <w:right w:val="single" w:sz="6" w:space="0" w:color="000000"/>
            </w:tcBorders>
            <w:shd w:val="clear" w:color="auto" w:fill="FFFFFF"/>
            <w:tcMar>
              <w:top w:w="45" w:type="dxa"/>
              <w:left w:w="45" w:type="dxa"/>
              <w:bottom w:w="45" w:type="dxa"/>
              <w:right w:w="300"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Газ, реализуемый на нагрев воды с использованием газового водонагревателя при отсутствии центрального горячего водоснабжения (в отсутствие других направлений использования газа), куб. м.</w:t>
            </w:r>
          </w:p>
        </w:tc>
        <w:tc>
          <w:tcPr>
            <w:tcW w:w="812" w:type="pct"/>
            <w:tcBorders>
              <w:top w:val="nil"/>
              <w:left w:val="nil"/>
              <w:bottom w:val="single" w:sz="6" w:space="0" w:color="000000"/>
              <w:right w:val="single" w:sz="6" w:space="0" w:color="000000"/>
            </w:tcBorders>
            <w:shd w:val="clear" w:color="auto" w:fill="FFFFFF"/>
            <w:tcMar>
              <w:top w:w="45" w:type="dxa"/>
              <w:left w:w="45" w:type="dxa"/>
              <w:bottom w:w="45" w:type="dxa"/>
              <w:right w:w="300" w:type="dxa"/>
            </w:tcMar>
            <w:hideMark/>
          </w:tcPr>
          <w:p w:rsidR="00171D1D" w:rsidRPr="00592BA7" w:rsidRDefault="00171D1D" w:rsidP="00592BA7">
            <w:pPr>
              <w:jc w:val="both"/>
              <w:rPr>
                <w:rFonts w:ascii="Times New Roman" w:hAnsi="Times New Roman" w:cs="Times New Roman"/>
                <w:sz w:val="20"/>
                <w:szCs w:val="20"/>
                <w:lang w:eastAsia="ru-RU"/>
              </w:rPr>
            </w:pPr>
          </w:p>
          <w:p w:rsidR="00171D1D" w:rsidRPr="00592BA7" w:rsidRDefault="00171D1D" w:rsidP="00592BA7">
            <w:pPr>
              <w:jc w:val="both"/>
              <w:rPr>
                <w:rFonts w:ascii="Times New Roman" w:hAnsi="Times New Roman" w:cs="Times New Roman"/>
                <w:sz w:val="20"/>
                <w:szCs w:val="20"/>
                <w:lang w:eastAsia="ru-RU"/>
              </w:rPr>
            </w:pPr>
          </w:p>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6,75</w:t>
            </w:r>
          </w:p>
        </w:tc>
        <w:tc>
          <w:tcPr>
            <w:tcW w:w="811" w:type="pct"/>
            <w:tcBorders>
              <w:top w:val="nil"/>
              <w:left w:val="nil"/>
              <w:bottom w:val="single" w:sz="6" w:space="0" w:color="000000"/>
              <w:right w:val="single" w:sz="6" w:space="0" w:color="000000"/>
            </w:tcBorders>
            <w:shd w:val="clear" w:color="auto" w:fill="FFFFFF"/>
            <w:tcMar>
              <w:top w:w="45" w:type="dxa"/>
              <w:left w:w="45" w:type="dxa"/>
              <w:bottom w:w="45" w:type="dxa"/>
              <w:right w:w="300" w:type="dxa"/>
            </w:tcMar>
            <w:hideMark/>
          </w:tcPr>
          <w:p w:rsidR="00171D1D" w:rsidRPr="00592BA7" w:rsidRDefault="00171D1D" w:rsidP="00592BA7">
            <w:pPr>
              <w:jc w:val="both"/>
              <w:rPr>
                <w:rFonts w:ascii="Times New Roman" w:hAnsi="Times New Roman" w:cs="Times New Roman"/>
                <w:sz w:val="20"/>
                <w:szCs w:val="20"/>
                <w:lang w:eastAsia="ru-RU"/>
              </w:rPr>
            </w:pPr>
          </w:p>
          <w:p w:rsidR="00171D1D" w:rsidRPr="00592BA7" w:rsidRDefault="00171D1D" w:rsidP="00592BA7">
            <w:pPr>
              <w:jc w:val="both"/>
              <w:rPr>
                <w:rFonts w:ascii="Times New Roman" w:hAnsi="Times New Roman" w:cs="Times New Roman"/>
                <w:sz w:val="20"/>
                <w:szCs w:val="20"/>
                <w:lang w:eastAsia="ru-RU"/>
              </w:rPr>
            </w:pPr>
          </w:p>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7,42</w:t>
            </w:r>
          </w:p>
        </w:tc>
      </w:tr>
      <w:tr w:rsidR="00171D1D" w:rsidRPr="00592BA7" w:rsidTr="00592BA7">
        <w:tc>
          <w:tcPr>
            <w:tcW w:w="217" w:type="pct"/>
            <w:tcBorders>
              <w:top w:val="nil"/>
              <w:left w:val="single" w:sz="6" w:space="0" w:color="000000"/>
              <w:bottom w:val="single" w:sz="6" w:space="0" w:color="000000"/>
              <w:right w:val="single" w:sz="6" w:space="0" w:color="000000"/>
            </w:tcBorders>
            <w:shd w:val="clear" w:color="auto" w:fill="FFFFFF"/>
            <w:tcMar>
              <w:top w:w="45" w:type="dxa"/>
              <w:left w:w="45" w:type="dxa"/>
              <w:bottom w:w="45" w:type="dxa"/>
              <w:right w:w="300" w:type="dxa"/>
            </w:tcMar>
            <w:hideMark/>
          </w:tcPr>
          <w:p w:rsidR="00171D1D" w:rsidRPr="00592BA7" w:rsidRDefault="00171D1D" w:rsidP="00592BA7">
            <w:pPr>
              <w:jc w:val="both"/>
              <w:rPr>
                <w:rFonts w:ascii="Times New Roman" w:hAnsi="Times New Roman" w:cs="Times New Roman"/>
                <w:sz w:val="20"/>
                <w:szCs w:val="20"/>
                <w:lang w:eastAsia="ru-RU"/>
              </w:rPr>
            </w:pPr>
          </w:p>
          <w:p w:rsidR="00171D1D" w:rsidRPr="00592BA7" w:rsidRDefault="00171D1D" w:rsidP="00592BA7">
            <w:pPr>
              <w:jc w:val="both"/>
              <w:rPr>
                <w:rFonts w:ascii="Times New Roman" w:hAnsi="Times New Roman" w:cs="Times New Roman"/>
                <w:sz w:val="20"/>
                <w:szCs w:val="20"/>
                <w:lang w:eastAsia="ru-RU"/>
              </w:rPr>
            </w:pPr>
          </w:p>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w:t>
            </w:r>
          </w:p>
        </w:tc>
        <w:tc>
          <w:tcPr>
            <w:tcW w:w="3160" w:type="pct"/>
            <w:tcBorders>
              <w:top w:val="nil"/>
              <w:left w:val="nil"/>
              <w:bottom w:val="single" w:sz="6" w:space="0" w:color="000000"/>
              <w:right w:val="single" w:sz="6" w:space="0" w:color="000000"/>
            </w:tcBorders>
            <w:shd w:val="clear" w:color="auto" w:fill="FFFFFF"/>
            <w:tcMar>
              <w:top w:w="45" w:type="dxa"/>
              <w:left w:w="45" w:type="dxa"/>
              <w:bottom w:w="45" w:type="dxa"/>
              <w:right w:w="300"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Газ, реализуемый на приготовление пищи и нагрев воды с использованием газовой плиты и нагрев воды с использованием газового водонагревателя при отсутствии центрального горячего водоснабжения (в отсутствие других направлений использования газа), куб. м.</w:t>
            </w:r>
          </w:p>
        </w:tc>
        <w:tc>
          <w:tcPr>
            <w:tcW w:w="812" w:type="pct"/>
            <w:tcBorders>
              <w:top w:val="nil"/>
              <w:left w:val="nil"/>
              <w:bottom w:val="single" w:sz="6" w:space="0" w:color="000000"/>
              <w:right w:val="single" w:sz="6" w:space="0" w:color="000000"/>
            </w:tcBorders>
            <w:shd w:val="clear" w:color="auto" w:fill="FFFFFF"/>
            <w:tcMar>
              <w:top w:w="45" w:type="dxa"/>
              <w:left w:w="45" w:type="dxa"/>
              <w:bottom w:w="45" w:type="dxa"/>
              <w:right w:w="300" w:type="dxa"/>
            </w:tcMar>
            <w:hideMark/>
          </w:tcPr>
          <w:p w:rsidR="00171D1D" w:rsidRPr="00592BA7" w:rsidRDefault="00171D1D" w:rsidP="00592BA7">
            <w:pPr>
              <w:jc w:val="both"/>
              <w:rPr>
                <w:rFonts w:ascii="Times New Roman" w:hAnsi="Times New Roman" w:cs="Times New Roman"/>
                <w:sz w:val="20"/>
                <w:szCs w:val="20"/>
                <w:lang w:eastAsia="ru-RU"/>
              </w:rPr>
            </w:pPr>
          </w:p>
          <w:p w:rsidR="00171D1D" w:rsidRPr="00592BA7" w:rsidRDefault="00171D1D" w:rsidP="00592BA7">
            <w:pPr>
              <w:jc w:val="both"/>
              <w:rPr>
                <w:rFonts w:ascii="Times New Roman" w:hAnsi="Times New Roman" w:cs="Times New Roman"/>
                <w:sz w:val="20"/>
                <w:szCs w:val="20"/>
                <w:lang w:eastAsia="ru-RU"/>
              </w:rPr>
            </w:pPr>
          </w:p>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6,75</w:t>
            </w:r>
          </w:p>
        </w:tc>
        <w:tc>
          <w:tcPr>
            <w:tcW w:w="811" w:type="pct"/>
            <w:tcBorders>
              <w:top w:val="nil"/>
              <w:left w:val="nil"/>
              <w:bottom w:val="single" w:sz="6" w:space="0" w:color="000000"/>
              <w:right w:val="single" w:sz="6" w:space="0" w:color="000000"/>
            </w:tcBorders>
            <w:shd w:val="clear" w:color="auto" w:fill="FFFFFF"/>
            <w:tcMar>
              <w:top w:w="45" w:type="dxa"/>
              <w:left w:w="45" w:type="dxa"/>
              <w:bottom w:w="45" w:type="dxa"/>
              <w:right w:w="300" w:type="dxa"/>
            </w:tcMar>
            <w:hideMark/>
          </w:tcPr>
          <w:p w:rsidR="00171D1D" w:rsidRPr="00592BA7" w:rsidRDefault="00171D1D" w:rsidP="00592BA7">
            <w:pPr>
              <w:jc w:val="both"/>
              <w:rPr>
                <w:rFonts w:ascii="Times New Roman" w:hAnsi="Times New Roman" w:cs="Times New Roman"/>
                <w:sz w:val="20"/>
                <w:szCs w:val="20"/>
                <w:lang w:eastAsia="ru-RU"/>
              </w:rPr>
            </w:pPr>
          </w:p>
          <w:p w:rsidR="00171D1D" w:rsidRPr="00592BA7" w:rsidRDefault="00171D1D" w:rsidP="00592BA7">
            <w:pPr>
              <w:jc w:val="both"/>
              <w:rPr>
                <w:rFonts w:ascii="Times New Roman" w:hAnsi="Times New Roman" w:cs="Times New Roman"/>
                <w:sz w:val="20"/>
                <w:szCs w:val="20"/>
                <w:lang w:eastAsia="ru-RU"/>
              </w:rPr>
            </w:pPr>
          </w:p>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7,42</w:t>
            </w:r>
          </w:p>
        </w:tc>
      </w:tr>
      <w:tr w:rsidR="00171D1D" w:rsidRPr="00592BA7" w:rsidTr="00592BA7">
        <w:tc>
          <w:tcPr>
            <w:tcW w:w="217" w:type="pct"/>
            <w:tcBorders>
              <w:top w:val="nil"/>
              <w:left w:val="single" w:sz="6" w:space="0" w:color="000000"/>
              <w:bottom w:val="single" w:sz="6" w:space="0" w:color="000000"/>
              <w:right w:val="single" w:sz="6" w:space="0" w:color="000000"/>
            </w:tcBorders>
            <w:shd w:val="clear" w:color="auto" w:fill="FFFFFF"/>
            <w:tcMar>
              <w:top w:w="45" w:type="dxa"/>
              <w:left w:w="45" w:type="dxa"/>
              <w:bottom w:w="45" w:type="dxa"/>
              <w:right w:w="300" w:type="dxa"/>
            </w:tcMar>
            <w:hideMark/>
          </w:tcPr>
          <w:p w:rsidR="00171D1D" w:rsidRPr="00592BA7" w:rsidRDefault="00171D1D" w:rsidP="00592BA7">
            <w:pPr>
              <w:jc w:val="both"/>
              <w:rPr>
                <w:rFonts w:ascii="Times New Roman" w:hAnsi="Times New Roman" w:cs="Times New Roman"/>
                <w:sz w:val="20"/>
                <w:szCs w:val="20"/>
                <w:lang w:eastAsia="ru-RU"/>
              </w:rPr>
            </w:pPr>
          </w:p>
          <w:p w:rsidR="00171D1D" w:rsidRPr="00592BA7" w:rsidRDefault="00171D1D" w:rsidP="00592BA7">
            <w:pPr>
              <w:jc w:val="both"/>
              <w:rPr>
                <w:rFonts w:ascii="Times New Roman" w:hAnsi="Times New Roman" w:cs="Times New Roman"/>
                <w:sz w:val="20"/>
                <w:szCs w:val="20"/>
                <w:lang w:eastAsia="ru-RU"/>
              </w:rPr>
            </w:pPr>
          </w:p>
          <w:p w:rsidR="00171D1D" w:rsidRPr="00592BA7" w:rsidRDefault="00171D1D" w:rsidP="00592BA7">
            <w:pPr>
              <w:jc w:val="both"/>
              <w:rPr>
                <w:rFonts w:ascii="Times New Roman" w:hAnsi="Times New Roman" w:cs="Times New Roman"/>
                <w:sz w:val="20"/>
                <w:szCs w:val="20"/>
                <w:lang w:eastAsia="ru-RU"/>
              </w:rPr>
            </w:pPr>
          </w:p>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4</w:t>
            </w:r>
          </w:p>
          <w:p w:rsidR="00171D1D" w:rsidRPr="00592BA7" w:rsidRDefault="00171D1D" w:rsidP="00592BA7">
            <w:pPr>
              <w:jc w:val="both"/>
              <w:rPr>
                <w:rFonts w:ascii="Times New Roman" w:hAnsi="Times New Roman" w:cs="Times New Roman"/>
                <w:sz w:val="20"/>
                <w:szCs w:val="20"/>
                <w:lang w:eastAsia="ru-RU"/>
              </w:rPr>
            </w:pPr>
          </w:p>
        </w:tc>
        <w:tc>
          <w:tcPr>
            <w:tcW w:w="3160" w:type="pct"/>
            <w:tcBorders>
              <w:top w:val="nil"/>
              <w:left w:val="nil"/>
              <w:bottom w:val="single" w:sz="6" w:space="0" w:color="000000"/>
              <w:right w:val="single" w:sz="6" w:space="0" w:color="000000"/>
            </w:tcBorders>
            <w:shd w:val="clear" w:color="auto" w:fill="FFFFFF"/>
            <w:tcMar>
              <w:top w:w="45" w:type="dxa"/>
              <w:left w:w="45" w:type="dxa"/>
              <w:bottom w:w="45" w:type="dxa"/>
              <w:right w:w="300"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Газ, реализуемый на отопление или отопление с одновременным использованием газа на другие цели (кроме отопления и (или) выработки электрической энергии с использованием котельных всех типов и (или) иного оборудования, находящихся в общей долевой собственности собственников помещений  в многоквартирных домах),  тыс. куб. м.</w:t>
            </w:r>
          </w:p>
        </w:tc>
        <w:tc>
          <w:tcPr>
            <w:tcW w:w="812" w:type="pct"/>
            <w:tcBorders>
              <w:top w:val="nil"/>
              <w:left w:val="nil"/>
              <w:bottom w:val="single" w:sz="6" w:space="0" w:color="000000"/>
              <w:right w:val="single" w:sz="6" w:space="0" w:color="000000"/>
            </w:tcBorders>
            <w:shd w:val="clear" w:color="auto" w:fill="FFFFFF"/>
            <w:tcMar>
              <w:top w:w="45" w:type="dxa"/>
              <w:left w:w="45" w:type="dxa"/>
              <w:bottom w:w="45" w:type="dxa"/>
              <w:right w:w="300" w:type="dxa"/>
            </w:tcMar>
            <w:hideMark/>
          </w:tcPr>
          <w:p w:rsidR="00171D1D" w:rsidRPr="00592BA7" w:rsidRDefault="00171D1D" w:rsidP="00592BA7">
            <w:pPr>
              <w:jc w:val="both"/>
              <w:rPr>
                <w:rFonts w:ascii="Times New Roman" w:hAnsi="Times New Roman" w:cs="Times New Roman"/>
                <w:sz w:val="20"/>
                <w:szCs w:val="20"/>
                <w:lang w:eastAsia="ru-RU"/>
              </w:rPr>
            </w:pPr>
          </w:p>
          <w:p w:rsidR="00171D1D" w:rsidRPr="00592BA7" w:rsidRDefault="00171D1D" w:rsidP="00592BA7">
            <w:pPr>
              <w:jc w:val="both"/>
              <w:rPr>
                <w:rFonts w:ascii="Times New Roman" w:hAnsi="Times New Roman" w:cs="Times New Roman"/>
                <w:sz w:val="20"/>
                <w:szCs w:val="20"/>
                <w:lang w:eastAsia="ru-RU"/>
              </w:rPr>
            </w:pPr>
          </w:p>
          <w:p w:rsidR="00171D1D" w:rsidRPr="00592BA7" w:rsidRDefault="00171D1D" w:rsidP="00592BA7">
            <w:pPr>
              <w:jc w:val="both"/>
              <w:rPr>
                <w:rFonts w:ascii="Times New Roman" w:hAnsi="Times New Roman" w:cs="Times New Roman"/>
                <w:sz w:val="20"/>
                <w:szCs w:val="20"/>
                <w:lang w:eastAsia="ru-RU"/>
              </w:rPr>
            </w:pPr>
          </w:p>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6747,19</w:t>
            </w:r>
          </w:p>
        </w:tc>
        <w:tc>
          <w:tcPr>
            <w:tcW w:w="811" w:type="pct"/>
            <w:tcBorders>
              <w:top w:val="nil"/>
              <w:left w:val="nil"/>
              <w:bottom w:val="single" w:sz="6" w:space="0" w:color="000000"/>
              <w:right w:val="single" w:sz="6" w:space="0" w:color="000000"/>
            </w:tcBorders>
            <w:shd w:val="clear" w:color="auto" w:fill="FFFFFF"/>
            <w:tcMar>
              <w:top w:w="45" w:type="dxa"/>
              <w:left w:w="45" w:type="dxa"/>
              <w:bottom w:w="45" w:type="dxa"/>
              <w:right w:w="300" w:type="dxa"/>
            </w:tcMar>
            <w:hideMark/>
          </w:tcPr>
          <w:p w:rsidR="00171D1D" w:rsidRPr="00592BA7" w:rsidRDefault="00171D1D" w:rsidP="00592BA7">
            <w:pPr>
              <w:jc w:val="both"/>
              <w:rPr>
                <w:rFonts w:ascii="Times New Roman" w:hAnsi="Times New Roman" w:cs="Times New Roman"/>
                <w:sz w:val="20"/>
                <w:szCs w:val="20"/>
                <w:lang w:eastAsia="ru-RU"/>
              </w:rPr>
            </w:pPr>
          </w:p>
          <w:p w:rsidR="00171D1D" w:rsidRPr="00592BA7" w:rsidRDefault="00171D1D" w:rsidP="00592BA7">
            <w:pPr>
              <w:jc w:val="both"/>
              <w:rPr>
                <w:rFonts w:ascii="Times New Roman" w:hAnsi="Times New Roman" w:cs="Times New Roman"/>
                <w:sz w:val="20"/>
                <w:szCs w:val="20"/>
                <w:lang w:eastAsia="ru-RU"/>
              </w:rPr>
            </w:pPr>
          </w:p>
          <w:p w:rsidR="00171D1D" w:rsidRPr="00592BA7" w:rsidRDefault="00171D1D" w:rsidP="00592BA7">
            <w:pPr>
              <w:jc w:val="both"/>
              <w:rPr>
                <w:rFonts w:ascii="Times New Roman" w:hAnsi="Times New Roman" w:cs="Times New Roman"/>
                <w:sz w:val="20"/>
                <w:szCs w:val="20"/>
                <w:lang w:eastAsia="ru-RU"/>
              </w:rPr>
            </w:pPr>
          </w:p>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7416,35</w:t>
            </w:r>
          </w:p>
        </w:tc>
      </w:tr>
      <w:tr w:rsidR="00171D1D" w:rsidRPr="00592BA7" w:rsidTr="00592BA7">
        <w:tc>
          <w:tcPr>
            <w:tcW w:w="217" w:type="pct"/>
            <w:tcBorders>
              <w:top w:val="nil"/>
              <w:left w:val="single" w:sz="6" w:space="0" w:color="000000"/>
              <w:bottom w:val="single" w:sz="6" w:space="0" w:color="000000"/>
              <w:right w:val="single" w:sz="6" w:space="0" w:color="000000"/>
            </w:tcBorders>
            <w:shd w:val="clear" w:color="auto" w:fill="FFFFFF"/>
            <w:tcMar>
              <w:top w:w="45" w:type="dxa"/>
              <w:left w:w="45" w:type="dxa"/>
              <w:bottom w:w="45" w:type="dxa"/>
              <w:right w:w="300" w:type="dxa"/>
            </w:tcMar>
            <w:hideMark/>
          </w:tcPr>
          <w:p w:rsidR="00171D1D" w:rsidRPr="00592BA7" w:rsidRDefault="00171D1D" w:rsidP="00592BA7">
            <w:pPr>
              <w:jc w:val="both"/>
              <w:rPr>
                <w:rFonts w:ascii="Times New Roman" w:hAnsi="Times New Roman" w:cs="Times New Roman"/>
                <w:sz w:val="20"/>
                <w:szCs w:val="20"/>
                <w:lang w:eastAsia="ru-RU"/>
              </w:rPr>
            </w:pPr>
          </w:p>
          <w:p w:rsidR="00171D1D" w:rsidRPr="00592BA7" w:rsidRDefault="00171D1D" w:rsidP="00592BA7">
            <w:pPr>
              <w:jc w:val="both"/>
              <w:rPr>
                <w:rFonts w:ascii="Times New Roman" w:hAnsi="Times New Roman" w:cs="Times New Roman"/>
                <w:sz w:val="20"/>
                <w:szCs w:val="20"/>
                <w:lang w:eastAsia="ru-RU"/>
              </w:rPr>
            </w:pPr>
          </w:p>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5</w:t>
            </w:r>
          </w:p>
          <w:p w:rsidR="00171D1D" w:rsidRPr="00592BA7" w:rsidRDefault="00171D1D" w:rsidP="00592BA7">
            <w:pPr>
              <w:jc w:val="both"/>
              <w:rPr>
                <w:rFonts w:ascii="Times New Roman" w:hAnsi="Times New Roman" w:cs="Times New Roman"/>
                <w:sz w:val="20"/>
                <w:szCs w:val="20"/>
                <w:lang w:eastAsia="ru-RU"/>
              </w:rPr>
            </w:pPr>
          </w:p>
        </w:tc>
        <w:tc>
          <w:tcPr>
            <w:tcW w:w="3160" w:type="pct"/>
            <w:tcBorders>
              <w:top w:val="nil"/>
              <w:left w:val="nil"/>
              <w:bottom w:val="single" w:sz="6" w:space="0" w:color="000000"/>
              <w:right w:val="single" w:sz="6" w:space="0" w:color="000000"/>
            </w:tcBorders>
            <w:shd w:val="clear" w:color="auto" w:fill="FFFFFF"/>
            <w:tcMar>
              <w:top w:w="45" w:type="dxa"/>
              <w:left w:w="45" w:type="dxa"/>
              <w:bottom w:w="45" w:type="dxa"/>
              <w:right w:w="300"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Газ, реализуемый на отопление и (или) выработку электрической энергии с использованием котельных всех типов и (или) иного оборудования, находящихся в общей долевой собственности собственников помещений  в  многоквартирных  домах,  тыс. куб. м.</w:t>
            </w:r>
          </w:p>
        </w:tc>
        <w:tc>
          <w:tcPr>
            <w:tcW w:w="812" w:type="pct"/>
            <w:tcBorders>
              <w:top w:val="nil"/>
              <w:left w:val="nil"/>
              <w:bottom w:val="single" w:sz="6" w:space="0" w:color="000000"/>
              <w:right w:val="single" w:sz="6" w:space="0" w:color="000000"/>
            </w:tcBorders>
            <w:shd w:val="clear" w:color="auto" w:fill="FFFFFF"/>
            <w:tcMar>
              <w:top w:w="45" w:type="dxa"/>
              <w:left w:w="45" w:type="dxa"/>
              <w:bottom w:w="45" w:type="dxa"/>
              <w:right w:w="300" w:type="dxa"/>
            </w:tcMar>
            <w:hideMark/>
          </w:tcPr>
          <w:p w:rsidR="00171D1D" w:rsidRPr="00592BA7" w:rsidRDefault="00171D1D" w:rsidP="00592BA7">
            <w:pPr>
              <w:jc w:val="both"/>
              <w:rPr>
                <w:rFonts w:ascii="Times New Roman" w:hAnsi="Times New Roman" w:cs="Times New Roman"/>
                <w:sz w:val="20"/>
                <w:szCs w:val="20"/>
                <w:lang w:eastAsia="ru-RU"/>
              </w:rPr>
            </w:pPr>
          </w:p>
          <w:p w:rsidR="00171D1D" w:rsidRPr="00592BA7" w:rsidRDefault="00171D1D" w:rsidP="00592BA7">
            <w:pPr>
              <w:jc w:val="both"/>
              <w:rPr>
                <w:rFonts w:ascii="Times New Roman" w:hAnsi="Times New Roman" w:cs="Times New Roman"/>
                <w:sz w:val="20"/>
                <w:szCs w:val="20"/>
                <w:lang w:eastAsia="ru-RU"/>
              </w:rPr>
            </w:pPr>
          </w:p>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6747,19</w:t>
            </w:r>
          </w:p>
        </w:tc>
        <w:tc>
          <w:tcPr>
            <w:tcW w:w="811" w:type="pct"/>
            <w:tcBorders>
              <w:top w:val="nil"/>
              <w:left w:val="nil"/>
              <w:bottom w:val="single" w:sz="6" w:space="0" w:color="000000"/>
              <w:right w:val="single" w:sz="6" w:space="0" w:color="000000"/>
            </w:tcBorders>
            <w:shd w:val="clear" w:color="auto" w:fill="FFFFFF"/>
            <w:tcMar>
              <w:top w:w="45" w:type="dxa"/>
              <w:left w:w="45" w:type="dxa"/>
              <w:bottom w:w="45" w:type="dxa"/>
              <w:right w:w="300" w:type="dxa"/>
            </w:tcMar>
            <w:hideMark/>
          </w:tcPr>
          <w:p w:rsidR="00171D1D" w:rsidRPr="00592BA7" w:rsidRDefault="00171D1D" w:rsidP="00592BA7">
            <w:pPr>
              <w:jc w:val="both"/>
              <w:rPr>
                <w:rFonts w:ascii="Times New Roman" w:hAnsi="Times New Roman" w:cs="Times New Roman"/>
                <w:sz w:val="20"/>
                <w:szCs w:val="20"/>
                <w:lang w:eastAsia="ru-RU"/>
              </w:rPr>
            </w:pPr>
          </w:p>
          <w:p w:rsidR="00171D1D" w:rsidRPr="00592BA7" w:rsidRDefault="00171D1D" w:rsidP="00592BA7">
            <w:pPr>
              <w:jc w:val="both"/>
              <w:rPr>
                <w:rFonts w:ascii="Times New Roman" w:hAnsi="Times New Roman" w:cs="Times New Roman"/>
                <w:sz w:val="20"/>
                <w:szCs w:val="20"/>
                <w:lang w:eastAsia="ru-RU"/>
              </w:rPr>
            </w:pPr>
          </w:p>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7416,35</w:t>
            </w:r>
          </w:p>
        </w:tc>
      </w:tr>
    </w:tbl>
    <w:p w:rsidR="00171D1D" w:rsidRPr="00592BA7" w:rsidRDefault="00171D1D" w:rsidP="00592BA7">
      <w:pPr>
        <w:jc w:val="both"/>
        <w:rPr>
          <w:rFonts w:ascii="Times New Roman" w:hAnsi="Times New Roman" w:cs="Times New Roman"/>
          <w:sz w:val="20"/>
          <w:szCs w:val="20"/>
        </w:rPr>
      </w:pP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br w:type="page"/>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Таблица 3.3.3.3</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Размер платы за природный газ, реализуемый населению с 01 января по 30 июня 2024г. и с 01 июля 2024г.</w:t>
      </w:r>
    </w:p>
    <w:tbl>
      <w:tblPr>
        <w:tblW w:w="4953" w:type="pct"/>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640"/>
        <w:gridCol w:w="3031"/>
        <w:gridCol w:w="1293"/>
        <w:gridCol w:w="1649"/>
        <w:gridCol w:w="1762"/>
        <w:gridCol w:w="1513"/>
      </w:tblGrid>
      <w:tr w:rsidR="00171D1D" w:rsidRPr="00592BA7" w:rsidTr="00592BA7">
        <w:tc>
          <w:tcPr>
            <w:tcW w:w="323" w:type="pct"/>
            <w:tcBorders>
              <w:top w:val="single" w:sz="6" w:space="0" w:color="000000"/>
              <w:left w:val="single" w:sz="6" w:space="0" w:color="000000"/>
              <w:bottom w:val="single" w:sz="6" w:space="0" w:color="000000"/>
              <w:right w:val="single" w:sz="6" w:space="0" w:color="000000"/>
            </w:tcBorders>
            <w:shd w:val="clear" w:color="auto" w:fill="FFFFFF"/>
            <w:tcMar>
              <w:top w:w="45" w:type="dxa"/>
              <w:left w:w="45" w:type="dxa"/>
              <w:bottom w:w="45" w:type="dxa"/>
              <w:right w:w="300" w:type="dxa"/>
            </w:tcMar>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w:t>
            </w:r>
          </w:p>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 п/п</w:t>
            </w:r>
          </w:p>
        </w:tc>
        <w:tc>
          <w:tcPr>
            <w:tcW w:w="1532" w:type="pct"/>
            <w:tcBorders>
              <w:top w:val="single" w:sz="6" w:space="0" w:color="000000"/>
              <w:left w:val="nil"/>
              <w:bottom w:val="single" w:sz="6" w:space="0" w:color="000000"/>
              <w:right w:val="single" w:sz="6" w:space="0" w:color="000000"/>
            </w:tcBorders>
            <w:shd w:val="clear" w:color="auto" w:fill="FFFFFF"/>
            <w:tcMar>
              <w:top w:w="45" w:type="dxa"/>
              <w:left w:w="45" w:type="dxa"/>
              <w:bottom w:w="45" w:type="dxa"/>
              <w:right w:w="300" w:type="dxa"/>
            </w:tcMar>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Типы домов и виды направления использования газа</w:t>
            </w:r>
          </w:p>
        </w:tc>
        <w:tc>
          <w:tcPr>
            <w:tcW w:w="654" w:type="pct"/>
            <w:tcBorders>
              <w:top w:val="single" w:sz="6" w:space="0" w:color="000000"/>
              <w:left w:val="nil"/>
              <w:bottom w:val="single" w:sz="6" w:space="0" w:color="000000"/>
              <w:right w:val="single" w:sz="6" w:space="0" w:color="000000"/>
            </w:tcBorders>
            <w:shd w:val="clear" w:color="auto" w:fill="FFFFFF"/>
            <w:tcMar>
              <w:top w:w="45" w:type="dxa"/>
              <w:left w:w="45" w:type="dxa"/>
              <w:bottom w:w="45" w:type="dxa"/>
              <w:right w:w="300" w:type="dxa"/>
            </w:tcMar>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Единица измерения</w:t>
            </w:r>
          </w:p>
        </w:tc>
        <w:tc>
          <w:tcPr>
            <w:tcW w:w="834" w:type="pct"/>
            <w:tcBorders>
              <w:top w:val="single" w:sz="6" w:space="0" w:color="000000"/>
              <w:left w:val="nil"/>
              <w:bottom w:val="single" w:sz="6" w:space="0" w:color="000000"/>
              <w:right w:val="single" w:sz="6" w:space="0" w:color="000000"/>
            </w:tcBorders>
            <w:shd w:val="clear" w:color="auto" w:fill="FFFFFF"/>
            <w:tcMar>
              <w:top w:w="45" w:type="dxa"/>
              <w:left w:w="45" w:type="dxa"/>
              <w:bottom w:w="45" w:type="dxa"/>
              <w:right w:w="300" w:type="dxa"/>
            </w:tcMar>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Утвержденный норматив потребления, куб. м. в месяц</w:t>
            </w:r>
          </w:p>
        </w:tc>
        <w:tc>
          <w:tcPr>
            <w:tcW w:w="891" w:type="pct"/>
            <w:tcBorders>
              <w:top w:val="single" w:sz="6" w:space="0" w:color="000000"/>
              <w:left w:val="nil"/>
              <w:bottom w:val="single" w:sz="6" w:space="0" w:color="000000"/>
              <w:right w:val="single" w:sz="6" w:space="0" w:color="000000"/>
            </w:tcBorders>
            <w:shd w:val="clear" w:color="auto" w:fill="FFFFFF"/>
            <w:tcMar>
              <w:top w:w="45" w:type="dxa"/>
              <w:left w:w="45" w:type="dxa"/>
              <w:bottom w:w="45" w:type="dxa"/>
              <w:right w:w="300" w:type="dxa"/>
            </w:tcMar>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Размер платы</w:t>
            </w:r>
          </w:p>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с 01  января  </w:t>
            </w:r>
          </w:p>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по  30  июня 2024 г., рублей</w:t>
            </w:r>
          </w:p>
        </w:tc>
        <w:tc>
          <w:tcPr>
            <w:tcW w:w="765" w:type="pct"/>
            <w:tcBorders>
              <w:top w:val="single" w:sz="6" w:space="0" w:color="000000"/>
              <w:left w:val="nil"/>
              <w:bottom w:val="single" w:sz="6" w:space="0" w:color="000000"/>
              <w:right w:val="single" w:sz="6" w:space="0" w:color="000000"/>
            </w:tcBorders>
            <w:shd w:val="clear" w:color="auto" w:fill="FFFFFF"/>
            <w:tcMar>
              <w:top w:w="45" w:type="dxa"/>
              <w:left w:w="45" w:type="dxa"/>
              <w:bottom w:w="45" w:type="dxa"/>
              <w:right w:w="300" w:type="dxa"/>
            </w:tcMar>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Размер платы</w:t>
            </w:r>
          </w:p>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с 01 июля 2024 г., рублей</w:t>
            </w:r>
          </w:p>
        </w:tc>
      </w:tr>
      <w:tr w:rsidR="00171D1D" w:rsidRPr="00592BA7" w:rsidTr="00592BA7">
        <w:trPr>
          <w:trHeight w:val="1085"/>
        </w:trPr>
        <w:tc>
          <w:tcPr>
            <w:tcW w:w="323" w:type="pct"/>
            <w:tcBorders>
              <w:top w:val="nil"/>
              <w:left w:val="single" w:sz="6" w:space="0" w:color="000000"/>
              <w:bottom w:val="single" w:sz="6" w:space="0" w:color="000000"/>
              <w:right w:val="single" w:sz="6" w:space="0" w:color="000000"/>
            </w:tcBorders>
            <w:shd w:val="clear" w:color="auto" w:fill="FFFFFF"/>
            <w:tcMar>
              <w:top w:w="45" w:type="dxa"/>
              <w:left w:w="45" w:type="dxa"/>
              <w:bottom w:w="45" w:type="dxa"/>
              <w:right w:w="300" w:type="dxa"/>
            </w:tcMar>
            <w:vAlign w:val="center"/>
            <w:hideMark/>
          </w:tcPr>
          <w:p w:rsidR="00171D1D" w:rsidRPr="00592BA7" w:rsidRDefault="00171D1D" w:rsidP="00592BA7">
            <w:pPr>
              <w:jc w:val="both"/>
              <w:rPr>
                <w:rFonts w:ascii="Times New Roman" w:hAnsi="Times New Roman" w:cs="Times New Roman"/>
                <w:sz w:val="20"/>
                <w:szCs w:val="20"/>
                <w:lang w:eastAsia="ru-RU"/>
              </w:rPr>
            </w:pPr>
          </w:p>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w:t>
            </w:r>
          </w:p>
        </w:tc>
        <w:tc>
          <w:tcPr>
            <w:tcW w:w="1532" w:type="pct"/>
            <w:tcBorders>
              <w:top w:val="nil"/>
              <w:left w:val="nil"/>
              <w:bottom w:val="single" w:sz="6" w:space="0" w:color="000000"/>
              <w:right w:val="single" w:sz="6" w:space="0" w:color="000000"/>
            </w:tcBorders>
            <w:shd w:val="clear" w:color="auto" w:fill="FFFFFF"/>
            <w:tcMar>
              <w:top w:w="45" w:type="dxa"/>
              <w:left w:w="45" w:type="dxa"/>
              <w:bottom w:w="45" w:type="dxa"/>
              <w:right w:w="300" w:type="dxa"/>
            </w:tcMar>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Дома (квартиры) с центральным отоплением и горячим водоснабжением, где установлены только газовые плиты (без приборов учета газа)</w:t>
            </w:r>
          </w:p>
        </w:tc>
        <w:tc>
          <w:tcPr>
            <w:tcW w:w="654" w:type="pct"/>
            <w:tcBorders>
              <w:top w:val="nil"/>
              <w:left w:val="nil"/>
              <w:bottom w:val="single" w:sz="6" w:space="0" w:color="000000"/>
              <w:right w:val="single" w:sz="6" w:space="0" w:color="000000"/>
            </w:tcBorders>
            <w:shd w:val="clear" w:color="auto" w:fill="FFFFFF"/>
            <w:tcMar>
              <w:top w:w="45" w:type="dxa"/>
              <w:left w:w="45" w:type="dxa"/>
              <w:bottom w:w="45" w:type="dxa"/>
              <w:right w:w="300" w:type="dxa"/>
            </w:tcMar>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 чел.</w:t>
            </w:r>
          </w:p>
        </w:tc>
        <w:tc>
          <w:tcPr>
            <w:tcW w:w="834" w:type="pct"/>
            <w:tcBorders>
              <w:top w:val="nil"/>
              <w:left w:val="nil"/>
              <w:bottom w:val="single" w:sz="6" w:space="0" w:color="000000"/>
              <w:right w:val="single" w:sz="6" w:space="0" w:color="000000"/>
            </w:tcBorders>
            <w:shd w:val="clear" w:color="auto" w:fill="FFFFFF"/>
            <w:tcMar>
              <w:top w:w="45" w:type="dxa"/>
              <w:left w:w="45" w:type="dxa"/>
              <w:bottom w:w="45" w:type="dxa"/>
              <w:right w:w="300" w:type="dxa"/>
            </w:tcMar>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12</w:t>
            </w:r>
          </w:p>
        </w:tc>
        <w:tc>
          <w:tcPr>
            <w:tcW w:w="891" w:type="pct"/>
            <w:tcBorders>
              <w:top w:val="nil"/>
              <w:left w:val="nil"/>
              <w:bottom w:val="single" w:sz="6" w:space="0" w:color="000000"/>
              <w:right w:val="single" w:sz="6" w:space="0" w:color="000000"/>
            </w:tcBorders>
            <w:shd w:val="clear" w:color="auto" w:fill="FFFFFF"/>
            <w:tcMar>
              <w:top w:w="45" w:type="dxa"/>
              <w:left w:w="45" w:type="dxa"/>
              <w:bottom w:w="45" w:type="dxa"/>
              <w:right w:w="300" w:type="dxa"/>
            </w:tcMar>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81,00</w:t>
            </w:r>
          </w:p>
        </w:tc>
        <w:tc>
          <w:tcPr>
            <w:tcW w:w="765" w:type="pct"/>
            <w:tcBorders>
              <w:top w:val="nil"/>
              <w:left w:val="nil"/>
              <w:bottom w:val="single" w:sz="6" w:space="0" w:color="000000"/>
              <w:right w:val="single" w:sz="6" w:space="0" w:color="000000"/>
            </w:tcBorders>
            <w:shd w:val="clear" w:color="auto" w:fill="FFFFFF"/>
            <w:tcMar>
              <w:top w:w="45" w:type="dxa"/>
              <w:left w:w="45" w:type="dxa"/>
              <w:bottom w:w="45" w:type="dxa"/>
              <w:right w:w="300" w:type="dxa"/>
            </w:tcMar>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89,04</w:t>
            </w:r>
          </w:p>
        </w:tc>
      </w:tr>
      <w:tr w:rsidR="00171D1D" w:rsidRPr="00592BA7" w:rsidTr="00592BA7">
        <w:tc>
          <w:tcPr>
            <w:tcW w:w="323" w:type="pct"/>
            <w:tcBorders>
              <w:top w:val="nil"/>
              <w:left w:val="single" w:sz="6" w:space="0" w:color="000000"/>
              <w:bottom w:val="single" w:sz="6" w:space="0" w:color="000000"/>
              <w:right w:val="single" w:sz="6" w:space="0" w:color="000000"/>
            </w:tcBorders>
            <w:shd w:val="clear" w:color="auto" w:fill="FFFFFF"/>
            <w:tcMar>
              <w:top w:w="45" w:type="dxa"/>
              <w:left w:w="45" w:type="dxa"/>
              <w:bottom w:w="45" w:type="dxa"/>
              <w:right w:w="300" w:type="dxa"/>
            </w:tcMar>
            <w:vAlign w:val="center"/>
            <w:hideMark/>
          </w:tcPr>
          <w:p w:rsidR="00171D1D" w:rsidRPr="00592BA7" w:rsidRDefault="00171D1D" w:rsidP="00592BA7">
            <w:pPr>
              <w:jc w:val="both"/>
              <w:rPr>
                <w:rFonts w:ascii="Times New Roman" w:hAnsi="Times New Roman" w:cs="Times New Roman"/>
                <w:sz w:val="20"/>
                <w:szCs w:val="20"/>
                <w:lang w:eastAsia="ru-RU"/>
              </w:rPr>
            </w:pPr>
          </w:p>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w:t>
            </w:r>
          </w:p>
        </w:tc>
        <w:tc>
          <w:tcPr>
            <w:tcW w:w="1532" w:type="pct"/>
            <w:tcBorders>
              <w:top w:val="nil"/>
              <w:left w:val="nil"/>
              <w:bottom w:val="single" w:sz="6" w:space="0" w:color="000000"/>
              <w:right w:val="single" w:sz="6" w:space="0" w:color="000000"/>
            </w:tcBorders>
            <w:shd w:val="clear" w:color="auto" w:fill="FFFFFF"/>
            <w:tcMar>
              <w:top w:w="45" w:type="dxa"/>
              <w:left w:w="45" w:type="dxa"/>
              <w:bottom w:w="45" w:type="dxa"/>
              <w:right w:w="300" w:type="dxa"/>
            </w:tcMar>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Дома (квартиры) без горячего водоснабжения, где установлены только газовые плиты (без приборов учета газа)</w:t>
            </w:r>
          </w:p>
        </w:tc>
        <w:tc>
          <w:tcPr>
            <w:tcW w:w="654" w:type="pct"/>
            <w:tcBorders>
              <w:top w:val="nil"/>
              <w:left w:val="nil"/>
              <w:bottom w:val="single" w:sz="6" w:space="0" w:color="000000"/>
              <w:right w:val="single" w:sz="6" w:space="0" w:color="000000"/>
            </w:tcBorders>
            <w:shd w:val="clear" w:color="auto" w:fill="FFFFFF"/>
            <w:tcMar>
              <w:top w:w="45" w:type="dxa"/>
              <w:left w:w="45" w:type="dxa"/>
              <w:bottom w:w="45" w:type="dxa"/>
              <w:right w:w="300" w:type="dxa"/>
            </w:tcMar>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 чел.</w:t>
            </w:r>
          </w:p>
        </w:tc>
        <w:tc>
          <w:tcPr>
            <w:tcW w:w="834" w:type="pct"/>
            <w:tcBorders>
              <w:top w:val="nil"/>
              <w:left w:val="nil"/>
              <w:bottom w:val="single" w:sz="6" w:space="0" w:color="000000"/>
              <w:right w:val="single" w:sz="6" w:space="0" w:color="000000"/>
            </w:tcBorders>
            <w:shd w:val="clear" w:color="auto" w:fill="FFFFFF"/>
            <w:tcMar>
              <w:top w:w="45" w:type="dxa"/>
              <w:left w:w="45" w:type="dxa"/>
              <w:bottom w:w="45" w:type="dxa"/>
              <w:right w:w="300" w:type="dxa"/>
            </w:tcMar>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20</w:t>
            </w:r>
          </w:p>
        </w:tc>
        <w:tc>
          <w:tcPr>
            <w:tcW w:w="891" w:type="pct"/>
            <w:tcBorders>
              <w:top w:val="nil"/>
              <w:left w:val="nil"/>
              <w:bottom w:val="single" w:sz="6" w:space="0" w:color="000000"/>
              <w:right w:val="single" w:sz="6" w:space="0" w:color="000000"/>
            </w:tcBorders>
            <w:shd w:val="clear" w:color="auto" w:fill="FFFFFF"/>
            <w:tcMar>
              <w:top w:w="45" w:type="dxa"/>
              <w:left w:w="45" w:type="dxa"/>
              <w:bottom w:w="45" w:type="dxa"/>
              <w:right w:w="300" w:type="dxa"/>
            </w:tcMar>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135,00</w:t>
            </w:r>
          </w:p>
        </w:tc>
        <w:tc>
          <w:tcPr>
            <w:tcW w:w="765" w:type="pct"/>
            <w:tcBorders>
              <w:top w:val="nil"/>
              <w:left w:val="nil"/>
              <w:bottom w:val="single" w:sz="6" w:space="0" w:color="000000"/>
              <w:right w:val="single" w:sz="6" w:space="0" w:color="000000"/>
            </w:tcBorders>
            <w:shd w:val="clear" w:color="auto" w:fill="FFFFFF"/>
            <w:tcMar>
              <w:top w:w="45" w:type="dxa"/>
              <w:left w:w="45" w:type="dxa"/>
              <w:bottom w:w="45" w:type="dxa"/>
              <w:right w:w="300" w:type="dxa"/>
            </w:tcMar>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148,40</w:t>
            </w:r>
          </w:p>
        </w:tc>
      </w:tr>
      <w:tr w:rsidR="00171D1D" w:rsidRPr="00592BA7" w:rsidTr="00592BA7">
        <w:tc>
          <w:tcPr>
            <w:tcW w:w="323" w:type="pct"/>
            <w:tcBorders>
              <w:top w:val="nil"/>
              <w:left w:val="single" w:sz="6" w:space="0" w:color="000000"/>
              <w:bottom w:val="single" w:sz="6" w:space="0" w:color="000000"/>
              <w:right w:val="single" w:sz="6" w:space="0" w:color="000000"/>
            </w:tcBorders>
            <w:shd w:val="clear" w:color="auto" w:fill="FFFFFF"/>
            <w:tcMar>
              <w:top w:w="45" w:type="dxa"/>
              <w:left w:w="45" w:type="dxa"/>
              <w:bottom w:w="45" w:type="dxa"/>
              <w:right w:w="300" w:type="dxa"/>
            </w:tcMar>
            <w:vAlign w:val="center"/>
            <w:hideMark/>
          </w:tcPr>
          <w:p w:rsidR="00171D1D" w:rsidRPr="00592BA7" w:rsidRDefault="00171D1D" w:rsidP="00592BA7">
            <w:pPr>
              <w:jc w:val="both"/>
              <w:rPr>
                <w:rFonts w:ascii="Times New Roman" w:hAnsi="Times New Roman" w:cs="Times New Roman"/>
                <w:sz w:val="20"/>
                <w:szCs w:val="20"/>
                <w:lang w:eastAsia="ru-RU"/>
              </w:rPr>
            </w:pPr>
          </w:p>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w:t>
            </w:r>
          </w:p>
        </w:tc>
        <w:tc>
          <w:tcPr>
            <w:tcW w:w="1532" w:type="pct"/>
            <w:tcBorders>
              <w:top w:val="nil"/>
              <w:left w:val="nil"/>
              <w:bottom w:val="single" w:sz="6" w:space="0" w:color="000000"/>
              <w:right w:val="single" w:sz="6" w:space="0" w:color="000000"/>
            </w:tcBorders>
            <w:shd w:val="clear" w:color="auto" w:fill="FFFFFF"/>
            <w:tcMar>
              <w:top w:w="45" w:type="dxa"/>
              <w:left w:w="45" w:type="dxa"/>
              <w:bottom w:w="45" w:type="dxa"/>
              <w:right w:w="300" w:type="dxa"/>
            </w:tcMar>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Дома (квартиры) без горячего водоснабжения, где установлены газовые плиты и колонки (без приборов учета газа)</w:t>
            </w:r>
          </w:p>
        </w:tc>
        <w:tc>
          <w:tcPr>
            <w:tcW w:w="654" w:type="pct"/>
            <w:tcBorders>
              <w:top w:val="nil"/>
              <w:left w:val="nil"/>
              <w:bottom w:val="single" w:sz="6" w:space="0" w:color="000000"/>
              <w:right w:val="single" w:sz="6" w:space="0" w:color="000000"/>
            </w:tcBorders>
            <w:shd w:val="clear" w:color="auto" w:fill="FFFFFF"/>
            <w:tcMar>
              <w:top w:w="45" w:type="dxa"/>
              <w:left w:w="45" w:type="dxa"/>
              <w:bottom w:w="45" w:type="dxa"/>
              <w:right w:w="300" w:type="dxa"/>
            </w:tcMar>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 чел.</w:t>
            </w:r>
          </w:p>
        </w:tc>
        <w:tc>
          <w:tcPr>
            <w:tcW w:w="834" w:type="pct"/>
            <w:tcBorders>
              <w:top w:val="nil"/>
              <w:left w:val="nil"/>
              <w:bottom w:val="single" w:sz="6" w:space="0" w:color="000000"/>
              <w:right w:val="single" w:sz="6" w:space="0" w:color="000000"/>
            </w:tcBorders>
            <w:shd w:val="clear" w:color="auto" w:fill="FFFFFF"/>
            <w:tcMar>
              <w:top w:w="45" w:type="dxa"/>
              <w:left w:w="45" w:type="dxa"/>
              <w:bottom w:w="45" w:type="dxa"/>
              <w:right w:w="300" w:type="dxa"/>
            </w:tcMar>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31</w:t>
            </w:r>
          </w:p>
        </w:tc>
        <w:tc>
          <w:tcPr>
            <w:tcW w:w="891" w:type="pct"/>
            <w:tcBorders>
              <w:top w:val="nil"/>
              <w:left w:val="nil"/>
              <w:bottom w:val="single" w:sz="6" w:space="0" w:color="000000"/>
              <w:right w:val="single" w:sz="6" w:space="0" w:color="000000"/>
            </w:tcBorders>
            <w:shd w:val="clear" w:color="auto" w:fill="FFFFFF"/>
            <w:tcMar>
              <w:top w:w="45" w:type="dxa"/>
              <w:left w:w="45" w:type="dxa"/>
              <w:bottom w:w="45" w:type="dxa"/>
              <w:right w:w="300" w:type="dxa"/>
            </w:tcMar>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209,25</w:t>
            </w:r>
          </w:p>
        </w:tc>
        <w:tc>
          <w:tcPr>
            <w:tcW w:w="765" w:type="pct"/>
            <w:tcBorders>
              <w:top w:val="nil"/>
              <w:left w:val="nil"/>
              <w:bottom w:val="single" w:sz="6" w:space="0" w:color="000000"/>
              <w:right w:val="single" w:sz="6" w:space="0" w:color="000000"/>
            </w:tcBorders>
            <w:shd w:val="clear" w:color="auto" w:fill="FFFFFF"/>
            <w:tcMar>
              <w:top w:w="45" w:type="dxa"/>
              <w:left w:w="45" w:type="dxa"/>
              <w:bottom w:w="45" w:type="dxa"/>
              <w:right w:w="300" w:type="dxa"/>
            </w:tcMar>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230,02</w:t>
            </w:r>
          </w:p>
        </w:tc>
      </w:tr>
    </w:tbl>
    <w:p w:rsidR="00171D1D" w:rsidRPr="00592BA7" w:rsidRDefault="00171D1D" w:rsidP="00592BA7">
      <w:pPr>
        <w:jc w:val="both"/>
        <w:rPr>
          <w:rFonts w:ascii="Times New Roman" w:hAnsi="Times New Roman" w:cs="Times New Roman"/>
          <w:sz w:val="20"/>
          <w:szCs w:val="20"/>
        </w:rPr>
      </w:pP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Примечание: Утвержденный норматив потребления природного газа при отсутствии прибора учета газа на отопление составляет 10 куб. м. на 1 кв. м. в месяц.</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3.4. Система водоснабжения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3.4.1. Описание организационной структуры, формы собственности и системы договоров между организациями, а также с потребителями</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Источником водоснабжения населенных пунктов Шумерлинского муниципального округа являются подземные воды. Лишь для водоснабжения д. Шумерля используются как подземные воды, так и поверхностный водный объект (р. Сура).</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Централизованное водоснабжение имеется в следующих населенных пунктах: п. Кабаново, д. Егоркино, п. Мыслец, д. Петропавловск, жители д. № 28а, 29 по ул. Луговая с. Нижняя Кумашка, с. Русские Алгаши, д. Торханы, д. Чертаганы, д. Малые Туваны, с. Ходары, п. Дубовка и д. Шумерля. Остальное население забор воды производит из колодцев и домашних скважин.</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В соответствии с постановлением администрации Шумерлинского муниципального округа от 09 ноября 2022 года №934 МУП «Юманайское ЖКХ» наделено статусом гарантирующей организации в сфере водоснабжения на территории Шумерлинского муниципального округа Чувашской Республики.</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Кроме того, на территории д. Шумерля действует предприятие - МУП «Чистая вода», которая добывает воду из поверхностного водного объекта (р. Сура) и эксплуатирует станцию подъема и участок «Шумерлинский -2».</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Водопроводные очистные сооружения на территории Шумерлинского муниципального округа имеются только у юго - западной границы г. Шумерля, которые служат для очистки воды из поверхностного водного объекта (р. Сура).</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Таблица 3.4.1.1</w:t>
      </w:r>
    </w:p>
    <w:tbl>
      <w:tblPr>
        <w:tblW w:w="4948"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93"/>
        <w:gridCol w:w="1839"/>
        <w:gridCol w:w="1872"/>
        <w:gridCol w:w="1872"/>
        <w:gridCol w:w="2374"/>
      </w:tblGrid>
      <w:tr w:rsidR="00171D1D" w:rsidRPr="00592BA7" w:rsidTr="00592BA7">
        <w:trPr>
          <w:cantSplit/>
          <w:tblHeader/>
        </w:trPr>
        <w:tc>
          <w:tcPr>
            <w:tcW w:w="877"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Наименование водного объекта</w:t>
            </w:r>
          </w:p>
        </w:tc>
        <w:tc>
          <w:tcPr>
            <w:tcW w:w="953"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Адрес местонахождения</w:t>
            </w:r>
          </w:p>
        </w:tc>
        <w:tc>
          <w:tcPr>
            <w:tcW w:w="970"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Населенный пункт</w:t>
            </w:r>
          </w:p>
        </w:tc>
        <w:tc>
          <w:tcPr>
            <w:tcW w:w="970"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Эксплуатирующая организация</w:t>
            </w:r>
          </w:p>
        </w:tc>
        <w:tc>
          <w:tcPr>
            <w:tcW w:w="1230"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Организация собственник</w:t>
            </w:r>
          </w:p>
        </w:tc>
      </w:tr>
      <w:tr w:rsidR="00171D1D" w:rsidRPr="00592BA7" w:rsidTr="00592BA7">
        <w:trPr>
          <w:cantSplit/>
        </w:trPr>
        <w:tc>
          <w:tcPr>
            <w:tcW w:w="877"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Поверхностный водный объект</w:t>
            </w:r>
          </w:p>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rPr>
              <w:t>(р. Сура)</w:t>
            </w:r>
          </w:p>
        </w:tc>
        <w:tc>
          <w:tcPr>
            <w:tcW w:w="953"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c>
          <w:tcPr>
            <w:tcW w:w="970"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rPr>
              <w:t>д. Шумерля</w:t>
            </w:r>
          </w:p>
        </w:tc>
        <w:tc>
          <w:tcPr>
            <w:tcW w:w="970"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МУП «Чистая вода»</w:t>
            </w:r>
          </w:p>
        </w:tc>
        <w:tc>
          <w:tcPr>
            <w:tcW w:w="1230"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Администрация Шумерлинского муниципального округа</w:t>
            </w:r>
          </w:p>
        </w:tc>
      </w:tr>
      <w:tr w:rsidR="00171D1D" w:rsidRPr="00592BA7" w:rsidTr="00592BA7">
        <w:trPr>
          <w:cantSplit/>
        </w:trPr>
        <w:tc>
          <w:tcPr>
            <w:tcW w:w="877"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(9 скважин)</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 действуют,</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3 - резерв,</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4 -наблюдательные</w:t>
            </w:r>
          </w:p>
        </w:tc>
        <w:tc>
          <w:tcPr>
            <w:tcW w:w="953"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Участок «Шумерлинский -2»</w:t>
            </w:r>
          </w:p>
        </w:tc>
        <w:tc>
          <w:tcPr>
            <w:tcW w:w="970"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rPr>
              <w:t>д. Шумерля</w:t>
            </w:r>
          </w:p>
        </w:tc>
        <w:tc>
          <w:tcPr>
            <w:tcW w:w="970"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МУП «Чистая вода»</w:t>
            </w:r>
          </w:p>
        </w:tc>
        <w:tc>
          <w:tcPr>
            <w:tcW w:w="1230"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Администрация Шумерлинского муниципального округа</w:t>
            </w:r>
          </w:p>
        </w:tc>
      </w:tr>
      <w:tr w:rsidR="00171D1D" w:rsidRPr="00592BA7" w:rsidTr="00592BA7">
        <w:trPr>
          <w:cantSplit/>
        </w:trPr>
        <w:tc>
          <w:tcPr>
            <w:tcW w:w="877"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rPr>
              <w:t>Скважина</w:t>
            </w:r>
          </w:p>
        </w:tc>
        <w:tc>
          <w:tcPr>
            <w:tcW w:w="953" w:type="pct"/>
            <w:vAlign w:val="center"/>
          </w:tcPr>
          <w:p w:rsidR="00171D1D" w:rsidRPr="00592BA7" w:rsidRDefault="00171D1D" w:rsidP="00592BA7">
            <w:pPr>
              <w:jc w:val="both"/>
              <w:rPr>
                <w:rFonts w:ascii="Times New Roman" w:hAnsi="Times New Roman" w:cs="Times New Roman"/>
                <w:sz w:val="20"/>
                <w:szCs w:val="20"/>
                <w:highlight w:val="red"/>
              </w:rPr>
            </w:pPr>
            <w:r w:rsidRPr="00592BA7">
              <w:rPr>
                <w:rFonts w:ascii="Times New Roman" w:hAnsi="Times New Roman" w:cs="Times New Roman"/>
                <w:sz w:val="20"/>
                <w:szCs w:val="20"/>
              </w:rPr>
              <w:t>с.Большие Алгаши, ул.Школьная, 5б</w:t>
            </w:r>
          </w:p>
        </w:tc>
        <w:tc>
          <w:tcPr>
            <w:tcW w:w="970"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rPr>
              <w:t>с. Б.Алгаши,</w:t>
            </w:r>
          </w:p>
        </w:tc>
        <w:tc>
          <w:tcPr>
            <w:tcW w:w="970"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МУП «Юманайское ЖКХ</w:t>
            </w:r>
          </w:p>
        </w:tc>
        <w:tc>
          <w:tcPr>
            <w:tcW w:w="1230"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Администрация Шумерлинского муниципального округа</w:t>
            </w:r>
          </w:p>
        </w:tc>
      </w:tr>
      <w:tr w:rsidR="00171D1D" w:rsidRPr="00592BA7" w:rsidTr="00592BA7">
        <w:trPr>
          <w:cantSplit/>
          <w:trHeight w:val="946"/>
        </w:trPr>
        <w:tc>
          <w:tcPr>
            <w:tcW w:w="877"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Скважина</w:t>
            </w:r>
          </w:p>
        </w:tc>
        <w:tc>
          <w:tcPr>
            <w:tcW w:w="953" w:type="pct"/>
            <w:vAlign w:val="center"/>
          </w:tcPr>
          <w:p w:rsidR="00171D1D" w:rsidRPr="00592BA7" w:rsidRDefault="00171D1D" w:rsidP="00592BA7">
            <w:pPr>
              <w:jc w:val="both"/>
              <w:rPr>
                <w:rFonts w:ascii="Times New Roman" w:hAnsi="Times New Roman" w:cs="Times New Roman"/>
                <w:sz w:val="20"/>
                <w:szCs w:val="20"/>
                <w:highlight w:val="red"/>
              </w:rPr>
            </w:pPr>
            <w:r w:rsidRPr="00592BA7">
              <w:rPr>
                <w:rFonts w:ascii="Times New Roman" w:hAnsi="Times New Roman" w:cs="Times New Roman"/>
                <w:sz w:val="20"/>
                <w:szCs w:val="20"/>
              </w:rPr>
              <w:t>п.Кабаново, ул.Молодежная, Большеалгашинское поселение</w:t>
            </w:r>
          </w:p>
        </w:tc>
        <w:tc>
          <w:tcPr>
            <w:tcW w:w="970"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 Кабаново</w:t>
            </w:r>
          </w:p>
        </w:tc>
        <w:tc>
          <w:tcPr>
            <w:tcW w:w="970"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МУП «Юманайское ЖКХ</w:t>
            </w:r>
          </w:p>
        </w:tc>
        <w:tc>
          <w:tcPr>
            <w:tcW w:w="1230"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Администрация Шумерлинского муниципального округа</w:t>
            </w:r>
          </w:p>
        </w:tc>
      </w:tr>
      <w:tr w:rsidR="00171D1D" w:rsidRPr="00592BA7" w:rsidTr="00592BA7">
        <w:trPr>
          <w:cantSplit/>
        </w:trPr>
        <w:tc>
          <w:tcPr>
            <w:tcW w:w="877"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Скважина</w:t>
            </w:r>
          </w:p>
        </w:tc>
        <w:tc>
          <w:tcPr>
            <w:tcW w:w="953"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д.Егоркино, ул.40 летия Победы</w:t>
            </w:r>
          </w:p>
        </w:tc>
        <w:tc>
          <w:tcPr>
            <w:tcW w:w="970"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д.Егоркино</w:t>
            </w:r>
          </w:p>
        </w:tc>
        <w:tc>
          <w:tcPr>
            <w:tcW w:w="970"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МУП «Юманайское ЖКХ</w:t>
            </w:r>
          </w:p>
        </w:tc>
        <w:tc>
          <w:tcPr>
            <w:tcW w:w="1230"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Администрация Шумерлинского муниципального округа</w:t>
            </w:r>
          </w:p>
        </w:tc>
      </w:tr>
      <w:tr w:rsidR="00171D1D" w:rsidRPr="00592BA7" w:rsidTr="00592BA7">
        <w:trPr>
          <w:cantSplit/>
        </w:trPr>
        <w:tc>
          <w:tcPr>
            <w:tcW w:w="877"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Скважина</w:t>
            </w:r>
          </w:p>
        </w:tc>
        <w:tc>
          <w:tcPr>
            <w:tcW w:w="953" w:type="pct"/>
            <w:vAlign w:val="center"/>
          </w:tcPr>
          <w:p w:rsidR="00171D1D" w:rsidRPr="00592BA7" w:rsidRDefault="00171D1D" w:rsidP="00592BA7">
            <w:pPr>
              <w:jc w:val="both"/>
              <w:rPr>
                <w:rFonts w:ascii="Times New Roman" w:hAnsi="Times New Roman" w:cs="Times New Roman"/>
                <w:sz w:val="20"/>
                <w:szCs w:val="20"/>
                <w:highlight w:val="red"/>
              </w:rPr>
            </w:pPr>
            <w:r w:rsidRPr="00592BA7">
              <w:rPr>
                <w:rFonts w:ascii="Times New Roman" w:hAnsi="Times New Roman" w:cs="Times New Roman"/>
                <w:sz w:val="20"/>
                <w:szCs w:val="20"/>
              </w:rPr>
              <w:t>д.Егоркино. ул.Луначарского</w:t>
            </w:r>
          </w:p>
        </w:tc>
        <w:tc>
          <w:tcPr>
            <w:tcW w:w="970"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д. Егоркино</w:t>
            </w:r>
          </w:p>
        </w:tc>
        <w:tc>
          <w:tcPr>
            <w:tcW w:w="970"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МУП «Юманайское ЖКХ</w:t>
            </w:r>
          </w:p>
        </w:tc>
        <w:tc>
          <w:tcPr>
            <w:tcW w:w="1230"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Администрация Шумерлинского муниципального округа</w:t>
            </w:r>
          </w:p>
        </w:tc>
      </w:tr>
      <w:tr w:rsidR="00171D1D" w:rsidRPr="00592BA7" w:rsidTr="00592BA7">
        <w:trPr>
          <w:cantSplit/>
        </w:trPr>
        <w:tc>
          <w:tcPr>
            <w:tcW w:w="877"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rPr>
              <w:t>Скважина</w:t>
            </w:r>
          </w:p>
        </w:tc>
        <w:tc>
          <w:tcPr>
            <w:tcW w:w="953" w:type="pct"/>
            <w:vAlign w:val="center"/>
          </w:tcPr>
          <w:p w:rsidR="00171D1D" w:rsidRPr="00592BA7" w:rsidRDefault="00171D1D" w:rsidP="00592BA7">
            <w:pPr>
              <w:jc w:val="both"/>
              <w:rPr>
                <w:rFonts w:ascii="Times New Roman" w:hAnsi="Times New Roman" w:cs="Times New Roman"/>
                <w:sz w:val="20"/>
                <w:szCs w:val="20"/>
                <w:highlight w:val="red"/>
              </w:rPr>
            </w:pPr>
            <w:r w:rsidRPr="00592BA7">
              <w:rPr>
                <w:rFonts w:ascii="Times New Roman" w:hAnsi="Times New Roman" w:cs="Times New Roman"/>
                <w:sz w:val="20"/>
                <w:szCs w:val="20"/>
              </w:rPr>
              <w:t>д.Петропавловск, около дома № 18 по ул. Заречная</w:t>
            </w:r>
          </w:p>
        </w:tc>
        <w:tc>
          <w:tcPr>
            <w:tcW w:w="970"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 Петропавловск</w:t>
            </w:r>
          </w:p>
        </w:tc>
        <w:tc>
          <w:tcPr>
            <w:tcW w:w="970"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МУП «Юманайское ЖКХ</w:t>
            </w:r>
          </w:p>
        </w:tc>
        <w:tc>
          <w:tcPr>
            <w:tcW w:w="1230"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Администрация Шумерлинского муниципального округа</w:t>
            </w:r>
          </w:p>
        </w:tc>
      </w:tr>
      <w:tr w:rsidR="00171D1D" w:rsidRPr="00592BA7" w:rsidTr="00592BA7">
        <w:trPr>
          <w:cantSplit/>
        </w:trPr>
        <w:tc>
          <w:tcPr>
            <w:tcW w:w="877"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Скважина</w:t>
            </w:r>
          </w:p>
        </w:tc>
        <w:tc>
          <w:tcPr>
            <w:tcW w:w="953" w:type="pct"/>
            <w:vAlign w:val="center"/>
          </w:tcPr>
          <w:p w:rsidR="00171D1D" w:rsidRPr="00592BA7" w:rsidRDefault="00171D1D" w:rsidP="00592BA7">
            <w:pPr>
              <w:jc w:val="both"/>
              <w:rPr>
                <w:rFonts w:ascii="Times New Roman" w:hAnsi="Times New Roman" w:cs="Times New Roman"/>
                <w:sz w:val="20"/>
                <w:szCs w:val="20"/>
                <w:highlight w:val="red"/>
              </w:rPr>
            </w:pPr>
            <w:r w:rsidRPr="00592BA7">
              <w:rPr>
                <w:rFonts w:ascii="Times New Roman" w:hAnsi="Times New Roman" w:cs="Times New Roman"/>
                <w:sz w:val="20"/>
                <w:szCs w:val="20"/>
              </w:rPr>
              <w:t>с.Нижняя Кумашка, ул.Луговая, 31 а,</w:t>
            </w:r>
          </w:p>
        </w:tc>
        <w:tc>
          <w:tcPr>
            <w:tcW w:w="970"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 Нижняя Кумашка</w:t>
            </w:r>
          </w:p>
        </w:tc>
        <w:tc>
          <w:tcPr>
            <w:tcW w:w="970"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МУП «Юманайское ЖКХ</w:t>
            </w:r>
          </w:p>
        </w:tc>
        <w:tc>
          <w:tcPr>
            <w:tcW w:w="1230"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Администрация Шумерлинского муниципального округа</w:t>
            </w:r>
          </w:p>
        </w:tc>
      </w:tr>
      <w:tr w:rsidR="00171D1D" w:rsidRPr="00592BA7" w:rsidTr="00592BA7">
        <w:trPr>
          <w:cantSplit/>
        </w:trPr>
        <w:tc>
          <w:tcPr>
            <w:tcW w:w="877"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rPr>
              <w:t>Скважина</w:t>
            </w:r>
          </w:p>
        </w:tc>
        <w:tc>
          <w:tcPr>
            <w:tcW w:w="953" w:type="pct"/>
            <w:vAlign w:val="center"/>
          </w:tcPr>
          <w:p w:rsidR="00171D1D" w:rsidRPr="00592BA7" w:rsidRDefault="00171D1D" w:rsidP="00592BA7">
            <w:pPr>
              <w:jc w:val="both"/>
              <w:rPr>
                <w:rFonts w:ascii="Times New Roman" w:hAnsi="Times New Roman" w:cs="Times New Roman"/>
                <w:sz w:val="20"/>
                <w:szCs w:val="20"/>
                <w:highlight w:val="red"/>
              </w:rPr>
            </w:pPr>
            <w:r w:rsidRPr="00592BA7">
              <w:rPr>
                <w:rFonts w:ascii="Times New Roman" w:hAnsi="Times New Roman" w:cs="Times New Roman"/>
                <w:sz w:val="20"/>
                <w:szCs w:val="20"/>
              </w:rPr>
              <w:t>с.Русские Алгаши, ул.Школьная, д.1</w:t>
            </w:r>
          </w:p>
        </w:tc>
        <w:tc>
          <w:tcPr>
            <w:tcW w:w="970"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 Русские Алгаши</w:t>
            </w:r>
          </w:p>
        </w:tc>
        <w:tc>
          <w:tcPr>
            <w:tcW w:w="970"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МУП «Юманайское ЖКХ</w:t>
            </w:r>
          </w:p>
        </w:tc>
        <w:tc>
          <w:tcPr>
            <w:tcW w:w="1230"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Администрация Шумерлинского муниципального округа</w:t>
            </w:r>
          </w:p>
        </w:tc>
      </w:tr>
      <w:tr w:rsidR="00171D1D" w:rsidRPr="00592BA7" w:rsidTr="00592BA7">
        <w:trPr>
          <w:cantSplit/>
        </w:trPr>
        <w:tc>
          <w:tcPr>
            <w:tcW w:w="877"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Скважина</w:t>
            </w:r>
          </w:p>
        </w:tc>
        <w:tc>
          <w:tcPr>
            <w:tcW w:w="953"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с.Русские Алгаши,</w:t>
            </w:r>
          </w:p>
          <w:p w:rsidR="00171D1D" w:rsidRPr="00592BA7" w:rsidRDefault="00171D1D" w:rsidP="00592BA7">
            <w:pPr>
              <w:jc w:val="both"/>
              <w:rPr>
                <w:rFonts w:ascii="Times New Roman" w:hAnsi="Times New Roman" w:cs="Times New Roman"/>
                <w:sz w:val="20"/>
                <w:szCs w:val="20"/>
                <w:highlight w:val="red"/>
              </w:rPr>
            </w:pPr>
            <w:r w:rsidRPr="00592BA7">
              <w:rPr>
                <w:rFonts w:ascii="Times New Roman" w:hAnsi="Times New Roman" w:cs="Times New Roman"/>
                <w:sz w:val="20"/>
                <w:szCs w:val="20"/>
              </w:rPr>
              <w:t>ул.Октябрьская, 3в</w:t>
            </w:r>
          </w:p>
        </w:tc>
        <w:tc>
          <w:tcPr>
            <w:tcW w:w="970"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 Русские Алгаши</w:t>
            </w:r>
          </w:p>
        </w:tc>
        <w:tc>
          <w:tcPr>
            <w:tcW w:w="970"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МУП «Юманайское ЖКХ</w:t>
            </w:r>
          </w:p>
        </w:tc>
        <w:tc>
          <w:tcPr>
            <w:tcW w:w="1230"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Администрация Шумерлинского муниципального округа</w:t>
            </w:r>
          </w:p>
        </w:tc>
      </w:tr>
      <w:tr w:rsidR="00171D1D" w:rsidRPr="00592BA7" w:rsidTr="00592BA7">
        <w:trPr>
          <w:cantSplit/>
        </w:trPr>
        <w:tc>
          <w:tcPr>
            <w:tcW w:w="877"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rPr>
              <w:lastRenderedPageBreak/>
              <w:t>Скважина</w:t>
            </w:r>
          </w:p>
        </w:tc>
        <w:tc>
          <w:tcPr>
            <w:tcW w:w="953" w:type="pct"/>
            <w:vAlign w:val="center"/>
          </w:tcPr>
          <w:p w:rsidR="00171D1D" w:rsidRPr="00592BA7" w:rsidRDefault="00171D1D" w:rsidP="00592BA7">
            <w:pPr>
              <w:jc w:val="both"/>
              <w:rPr>
                <w:rFonts w:ascii="Times New Roman" w:hAnsi="Times New Roman" w:cs="Times New Roman"/>
                <w:sz w:val="20"/>
                <w:szCs w:val="20"/>
                <w:highlight w:val="red"/>
              </w:rPr>
            </w:pPr>
            <w:r w:rsidRPr="00592BA7">
              <w:rPr>
                <w:rFonts w:ascii="Times New Roman" w:hAnsi="Times New Roman" w:cs="Times New Roman"/>
                <w:sz w:val="20"/>
                <w:szCs w:val="20"/>
              </w:rPr>
              <w:t>с.Чувашские Алгаши, ул. Советская, 43</w:t>
            </w:r>
          </w:p>
        </w:tc>
        <w:tc>
          <w:tcPr>
            <w:tcW w:w="970"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 Чувашские Алгаши</w:t>
            </w:r>
          </w:p>
        </w:tc>
        <w:tc>
          <w:tcPr>
            <w:tcW w:w="970"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МУП «Юманайское ЖКХ</w:t>
            </w:r>
          </w:p>
        </w:tc>
        <w:tc>
          <w:tcPr>
            <w:tcW w:w="1230"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Администрация Шумерлинского муниципального округа</w:t>
            </w:r>
          </w:p>
        </w:tc>
      </w:tr>
      <w:tr w:rsidR="00171D1D" w:rsidRPr="00592BA7" w:rsidTr="00592BA7">
        <w:trPr>
          <w:cantSplit/>
        </w:trPr>
        <w:tc>
          <w:tcPr>
            <w:tcW w:w="877"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Скважина</w:t>
            </w:r>
          </w:p>
        </w:tc>
        <w:tc>
          <w:tcPr>
            <w:tcW w:w="953" w:type="pct"/>
            <w:vAlign w:val="center"/>
          </w:tcPr>
          <w:p w:rsidR="00171D1D" w:rsidRPr="00592BA7" w:rsidRDefault="00171D1D" w:rsidP="00592BA7">
            <w:pPr>
              <w:jc w:val="both"/>
              <w:rPr>
                <w:rFonts w:ascii="Times New Roman" w:hAnsi="Times New Roman" w:cs="Times New Roman"/>
                <w:sz w:val="20"/>
                <w:szCs w:val="20"/>
                <w:highlight w:val="red"/>
              </w:rPr>
            </w:pPr>
            <w:r w:rsidRPr="00592BA7">
              <w:rPr>
                <w:rFonts w:ascii="Times New Roman" w:hAnsi="Times New Roman" w:cs="Times New Roman"/>
                <w:sz w:val="20"/>
                <w:szCs w:val="20"/>
              </w:rPr>
              <w:t>д.Торханы ул.Молодежная,</w:t>
            </w:r>
          </w:p>
        </w:tc>
        <w:tc>
          <w:tcPr>
            <w:tcW w:w="970"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д. Торханы</w:t>
            </w:r>
          </w:p>
        </w:tc>
        <w:tc>
          <w:tcPr>
            <w:tcW w:w="970"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МУП «Юманайское ЖКХ</w:t>
            </w:r>
          </w:p>
        </w:tc>
        <w:tc>
          <w:tcPr>
            <w:tcW w:w="1230"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Администрация Шумерлинского муниципального округа</w:t>
            </w:r>
          </w:p>
        </w:tc>
      </w:tr>
      <w:tr w:rsidR="00171D1D" w:rsidRPr="00592BA7" w:rsidTr="00592BA7">
        <w:trPr>
          <w:cantSplit/>
        </w:trPr>
        <w:tc>
          <w:tcPr>
            <w:tcW w:w="877"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Скважина</w:t>
            </w:r>
          </w:p>
        </w:tc>
        <w:tc>
          <w:tcPr>
            <w:tcW w:w="953"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д.Чертоганы, ул.Коммунистическая,2</w:t>
            </w:r>
          </w:p>
        </w:tc>
        <w:tc>
          <w:tcPr>
            <w:tcW w:w="970"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Д.Чертоганы</w:t>
            </w:r>
          </w:p>
        </w:tc>
        <w:tc>
          <w:tcPr>
            <w:tcW w:w="970"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МУП «Юманайское ЖКХ</w:t>
            </w:r>
          </w:p>
          <w:p w:rsidR="00171D1D" w:rsidRPr="00592BA7" w:rsidRDefault="00171D1D" w:rsidP="00592BA7">
            <w:pPr>
              <w:jc w:val="both"/>
              <w:rPr>
                <w:rFonts w:ascii="Times New Roman" w:hAnsi="Times New Roman" w:cs="Times New Roman"/>
                <w:sz w:val="20"/>
                <w:szCs w:val="20"/>
              </w:rPr>
            </w:pPr>
          </w:p>
        </w:tc>
        <w:tc>
          <w:tcPr>
            <w:tcW w:w="1230"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Администрация Шумерлинского муниципального округа</w:t>
            </w:r>
          </w:p>
        </w:tc>
      </w:tr>
      <w:tr w:rsidR="00171D1D" w:rsidRPr="00592BA7" w:rsidTr="00592BA7">
        <w:trPr>
          <w:cantSplit/>
        </w:trPr>
        <w:tc>
          <w:tcPr>
            <w:tcW w:w="877"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rPr>
              <w:t>Скважина</w:t>
            </w:r>
          </w:p>
        </w:tc>
        <w:tc>
          <w:tcPr>
            <w:tcW w:w="953" w:type="pct"/>
            <w:vAlign w:val="center"/>
          </w:tcPr>
          <w:p w:rsidR="00171D1D" w:rsidRPr="00592BA7" w:rsidRDefault="00171D1D" w:rsidP="00592BA7">
            <w:pPr>
              <w:jc w:val="both"/>
              <w:rPr>
                <w:rFonts w:ascii="Times New Roman" w:hAnsi="Times New Roman" w:cs="Times New Roman"/>
                <w:sz w:val="20"/>
                <w:szCs w:val="20"/>
                <w:highlight w:val="red"/>
              </w:rPr>
            </w:pPr>
            <w:r w:rsidRPr="00592BA7">
              <w:rPr>
                <w:rFonts w:ascii="Times New Roman" w:hAnsi="Times New Roman" w:cs="Times New Roman"/>
                <w:sz w:val="20"/>
                <w:szCs w:val="20"/>
              </w:rPr>
              <w:t>д.Торханы ул.Цетральная,51</w:t>
            </w:r>
          </w:p>
        </w:tc>
        <w:tc>
          <w:tcPr>
            <w:tcW w:w="970"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 Торханы</w:t>
            </w:r>
          </w:p>
        </w:tc>
        <w:tc>
          <w:tcPr>
            <w:tcW w:w="970"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МУП «Юманайское ЖКХ</w:t>
            </w:r>
          </w:p>
        </w:tc>
        <w:tc>
          <w:tcPr>
            <w:tcW w:w="1230"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Администрация Шумерлинского муниципального округа</w:t>
            </w:r>
          </w:p>
        </w:tc>
      </w:tr>
      <w:tr w:rsidR="00171D1D" w:rsidRPr="00592BA7" w:rsidTr="00592BA7">
        <w:trPr>
          <w:cantSplit/>
        </w:trPr>
        <w:tc>
          <w:tcPr>
            <w:tcW w:w="877"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Скважина</w:t>
            </w:r>
          </w:p>
        </w:tc>
        <w:tc>
          <w:tcPr>
            <w:tcW w:w="953" w:type="pct"/>
            <w:vAlign w:val="center"/>
          </w:tcPr>
          <w:p w:rsidR="00171D1D" w:rsidRPr="00592BA7" w:rsidRDefault="00171D1D" w:rsidP="00592BA7">
            <w:pPr>
              <w:jc w:val="both"/>
              <w:rPr>
                <w:rFonts w:ascii="Times New Roman" w:hAnsi="Times New Roman" w:cs="Times New Roman"/>
                <w:sz w:val="20"/>
                <w:szCs w:val="20"/>
                <w:highlight w:val="red"/>
              </w:rPr>
            </w:pPr>
            <w:r w:rsidRPr="00592BA7">
              <w:rPr>
                <w:rFonts w:ascii="Times New Roman" w:hAnsi="Times New Roman" w:cs="Times New Roman"/>
                <w:sz w:val="20"/>
                <w:szCs w:val="20"/>
              </w:rPr>
              <w:t>с.Ходары, ул.Напольная, д.1</w:t>
            </w:r>
          </w:p>
        </w:tc>
        <w:tc>
          <w:tcPr>
            <w:tcW w:w="970"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 Ходары</w:t>
            </w:r>
          </w:p>
        </w:tc>
        <w:tc>
          <w:tcPr>
            <w:tcW w:w="970"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МУП «Юманайское ЖКХ</w:t>
            </w:r>
          </w:p>
        </w:tc>
        <w:tc>
          <w:tcPr>
            <w:tcW w:w="1230"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Администрация Шумерлинского муниципального округа</w:t>
            </w:r>
          </w:p>
        </w:tc>
      </w:tr>
      <w:tr w:rsidR="00171D1D" w:rsidRPr="00592BA7" w:rsidTr="00592BA7">
        <w:trPr>
          <w:cantSplit/>
        </w:trPr>
        <w:tc>
          <w:tcPr>
            <w:tcW w:w="877"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rPr>
              <w:t>Скважина</w:t>
            </w:r>
          </w:p>
        </w:tc>
        <w:tc>
          <w:tcPr>
            <w:tcW w:w="953"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с.Ходары,</w:t>
            </w:r>
          </w:p>
          <w:p w:rsidR="00171D1D" w:rsidRPr="00592BA7" w:rsidRDefault="00171D1D" w:rsidP="00592BA7">
            <w:pPr>
              <w:jc w:val="both"/>
              <w:rPr>
                <w:rFonts w:ascii="Times New Roman" w:hAnsi="Times New Roman" w:cs="Times New Roman"/>
                <w:sz w:val="20"/>
                <w:szCs w:val="20"/>
                <w:highlight w:val="red"/>
              </w:rPr>
            </w:pPr>
            <w:r w:rsidRPr="00592BA7">
              <w:rPr>
                <w:rFonts w:ascii="Times New Roman" w:hAnsi="Times New Roman" w:cs="Times New Roman"/>
                <w:sz w:val="20"/>
                <w:szCs w:val="20"/>
              </w:rPr>
              <w:t>ул.Садовая, д.4</w:t>
            </w:r>
          </w:p>
        </w:tc>
        <w:tc>
          <w:tcPr>
            <w:tcW w:w="970"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 Ходары</w:t>
            </w:r>
          </w:p>
        </w:tc>
        <w:tc>
          <w:tcPr>
            <w:tcW w:w="970"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МУП «Юманайское ЖКХ</w:t>
            </w:r>
          </w:p>
        </w:tc>
        <w:tc>
          <w:tcPr>
            <w:tcW w:w="1230"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Администрация Шумерлинского муниципального округа</w:t>
            </w:r>
          </w:p>
        </w:tc>
      </w:tr>
      <w:tr w:rsidR="00171D1D" w:rsidRPr="00592BA7" w:rsidTr="00592BA7">
        <w:trPr>
          <w:cantSplit/>
        </w:trPr>
        <w:tc>
          <w:tcPr>
            <w:tcW w:w="877"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Скважина</w:t>
            </w:r>
          </w:p>
        </w:tc>
        <w:tc>
          <w:tcPr>
            <w:tcW w:w="953"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с.Туваны, ул, Октябрьская,д.13</w:t>
            </w:r>
          </w:p>
        </w:tc>
        <w:tc>
          <w:tcPr>
            <w:tcW w:w="970"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с.Туваны</w:t>
            </w:r>
          </w:p>
        </w:tc>
        <w:tc>
          <w:tcPr>
            <w:tcW w:w="970"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МУП «Юманайское ЖКХ</w:t>
            </w:r>
          </w:p>
        </w:tc>
        <w:tc>
          <w:tcPr>
            <w:tcW w:w="1230"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Администрация Шумерлинского муниципального округа</w:t>
            </w:r>
          </w:p>
        </w:tc>
      </w:tr>
      <w:tr w:rsidR="00171D1D" w:rsidRPr="00592BA7" w:rsidTr="00592BA7">
        <w:trPr>
          <w:cantSplit/>
        </w:trPr>
        <w:tc>
          <w:tcPr>
            <w:tcW w:w="877"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Скважина</w:t>
            </w:r>
          </w:p>
        </w:tc>
        <w:tc>
          <w:tcPr>
            <w:tcW w:w="953"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с.Малые Туваны,</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Южная окраина</w:t>
            </w:r>
          </w:p>
        </w:tc>
        <w:tc>
          <w:tcPr>
            <w:tcW w:w="970"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 Малые Туваны</w:t>
            </w:r>
          </w:p>
        </w:tc>
        <w:tc>
          <w:tcPr>
            <w:tcW w:w="970"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МУП «Юманайское ЖКХ</w:t>
            </w:r>
          </w:p>
        </w:tc>
        <w:tc>
          <w:tcPr>
            <w:tcW w:w="1230"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Администрация Шумерлинского муниципального округа</w:t>
            </w:r>
          </w:p>
        </w:tc>
      </w:tr>
      <w:tr w:rsidR="00171D1D" w:rsidRPr="00592BA7" w:rsidTr="00592BA7">
        <w:trPr>
          <w:cantSplit/>
        </w:trPr>
        <w:tc>
          <w:tcPr>
            <w:tcW w:w="877"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Скважина</w:t>
            </w:r>
          </w:p>
        </w:tc>
        <w:tc>
          <w:tcPr>
            <w:tcW w:w="953"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с.Юманай,</w:t>
            </w:r>
          </w:p>
          <w:p w:rsidR="00171D1D" w:rsidRPr="00592BA7" w:rsidRDefault="00171D1D" w:rsidP="00592BA7">
            <w:pPr>
              <w:jc w:val="both"/>
              <w:rPr>
                <w:rFonts w:ascii="Times New Roman" w:hAnsi="Times New Roman" w:cs="Times New Roman"/>
                <w:sz w:val="20"/>
                <w:szCs w:val="20"/>
                <w:highlight w:val="red"/>
              </w:rPr>
            </w:pPr>
            <w:r w:rsidRPr="00592BA7">
              <w:rPr>
                <w:rFonts w:ascii="Times New Roman" w:hAnsi="Times New Roman" w:cs="Times New Roman"/>
                <w:sz w:val="20"/>
                <w:szCs w:val="20"/>
              </w:rPr>
              <w:t>ул.Мира, д.3а</w:t>
            </w:r>
          </w:p>
        </w:tc>
        <w:tc>
          <w:tcPr>
            <w:tcW w:w="970"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 Юманай</w:t>
            </w:r>
          </w:p>
        </w:tc>
        <w:tc>
          <w:tcPr>
            <w:tcW w:w="970"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МУП «Юманайское ЖКХ</w:t>
            </w:r>
          </w:p>
        </w:tc>
        <w:tc>
          <w:tcPr>
            <w:tcW w:w="1230"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Администрация Шумерлинского муниципального округа</w:t>
            </w:r>
          </w:p>
        </w:tc>
      </w:tr>
      <w:tr w:rsidR="00171D1D" w:rsidRPr="00592BA7" w:rsidTr="00592BA7">
        <w:trPr>
          <w:cantSplit/>
        </w:trPr>
        <w:tc>
          <w:tcPr>
            <w:tcW w:w="877"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rPr>
              <w:t>Скважина</w:t>
            </w:r>
          </w:p>
        </w:tc>
        <w:tc>
          <w:tcPr>
            <w:tcW w:w="953"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с.Юманай,</w:t>
            </w:r>
          </w:p>
          <w:p w:rsidR="00171D1D" w:rsidRPr="00592BA7" w:rsidRDefault="00171D1D" w:rsidP="00592BA7">
            <w:pPr>
              <w:jc w:val="both"/>
              <w:rPr>
                <w:rFonts w:ascii="Times New Roman" w:hAnsi="Times New Roman" w:cs="Times New Roman"/>
                <w:sz w:val="20"/>
                <w:szCs w:val="20"/>
                <w:highlight w:val="red"/>
              </w:rPr>
            </w:pPr>
            <w:r w:rsidRPr="00592BA7">
              <w:rPr>
                <w:rFonts w:ascii="Times New Roman" w:hAnsi="Times New Roman" w:cs="Times New Roman"/>
                <w:sz w:val="20"/>
                <w:szCs w:val="20"/>
              </w:rPr>
              <w:t>ул. Гагарина, д.70</w:t>
            </w:r>
          </w:p>
        </w:tc>
        <w:tc>
          <w:tcPr>
            <w:tcW w:w="970"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 Юманай</w:t>
            </w:r>
          </w:p>
        </w:tc>
        <w:tc>
          <w:tcPr>
            <w:tcW w:w="970"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МУП «Юманайское ЖКХ</w:t>
            </w:r>
          </w:p>
        </w:tc>
        <w:tc>
          <w:tcPr>
            <w:tcW w:w="1230"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Администрация Шумерлинского муниципального округа</w:t>
            </w:r>
          </w:p>
        </w:tc>
      </w:tr>
      <w:tr w:rsidR="00171D1D" w:rsidRPr="00592BA7" w:rsidTr="00592BA7">
        <w:trPr>
          <w:cantSplit/>
        </w:trPr>
        <w:tc>
          <w:tcPr>
            <w:tcW w:w="877"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Скважина</w:t>
            </w:r>
          </w:p>
        </w:tc>
        <w:tc>
          <w:tcPr>
            <w:tcW w:w="953" w:type="pct"/>
            <w:vAlign w:val="center"/>
          </w:tcPr>
          <w:p w:rsidR="00171D1D" w:rsidRPr="00592BA7" w:rsidRDefault="00171D1D" w:rsidP="00592BA7">
            <w:pPr>
              <w:jc w:val="both"/>
              <w:rPr>
                <w:rFonts w:ascii="Times New Roman" w:hAnsi="Times New Roman" w:cs="Times New Roman"/>
                <w:sz w:val="20"/>
                <w:szCs w:val="20"/>
                <w:highlight w:val="red"/>
              </w:rPr>
            </w:pPr>
            <w:r w:rsidRPr="00592BA7">
              <w:rPr>
                <w:rFonts w:ascii="Times New Roman" w:hAnsi="Times New Roman" w:cs="Times New Roman"/>
                <w:sz w:val="20"/>
                <w:szCs w:val="20"/>
              </w:rPr>
              <w:t>с.Юманай, южная окраина</w:t>
            </w:r>
          </w:p>
        </w:tc>
        <w:tc>
          <w:tcPr>
            <w:tcW w:w="970"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 Юманай</w:t>
            </w:r>
          </w:p>
        </w:tc>
        <w:tc>
          <w:tcPr>
            <w:tcW w:w="970"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МУП «Юманайское ЖКХ</w:t>
            </w:r>
          </w:p>
        </w:tc>
        <w:tc>
          <w:tcPr>
            <w:tcW w:w="1230"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Администрация Шумерлинского муниципального округа</w:t>
            </w:r>
          </w:p>
        </w:tc>
      </w:tr>
      <w:tr w:rsidR="00171D1D" w:rsidRPr="00592BA7" w:rsidTr="00592BA7">
        <w:trPr>
          <w:cantSplit/>
        </w:trPr>
        <w:tc>
          <w:tcPr>
            <w:tcW w:w="877"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rPr>
              <w:t>Скважина</w:t>
            </w:r>
          </w:p>
        </w:tc>
        <w:tc>
          <w:tcPr>
            <w:tcW w:w="953"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д. Кадеркино,</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восточнее</w:t>
            </w:r>
          </w:p>
          <w:p w:rsidR="00171D1D" w:rsidRPr="00592BA7" w:rsidRDefault="00171D1D" w:rsidP="00592BA7">
            <w:pPr>
              <w:jc w:val="both"/>
              <w:rPr>
                <w:rFonts w:ascii="Times New Roman" w:hAnsi="Times New Roman" w:cs="Times New Roman"/>
                <w:sz w:val="20"/>
                <w:szCs w:val="20"/>
                <w:highlight w:val="red"/>
              </w:rPr>
            </w:pPr>
            <w:r w:rsidRPr="00592BA7">
              <w:rPr>
                <w:rFonts w:ascii="Times New Roman" w:hAnsi="Times New Roman" w:cs="Times New Roman"/>
                <w:sz w:val="20"/>
                <w:szCs w:val="20"/>
              </w:rPr>
              <w:t>ул.Интернациональная дом 1</w:t>
            </w:r>
          </w:p>
        </w:tc>
        <w:tc>
          <w:tcPr>
            <w:tcW w:w="970"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д. Кадеркино</w:t>
            </w:r>
          </w:p>
        </w:tc>
        <w:tc>
          <w:tcPr>
            <w:tcW w:w="970"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МУП «Юманайское ЖКХ</w:t>
            </w:r>
          </w:p>
        </w:tc>
        <w:tc>
          <w:tcPr>
            <w:tcW w:w="1230"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Администрация Шумерлинского муниципального округа</w:t>
            </w:r>
          </w:p>
        </w:tc>
      </w:tr>
      <w:tr w:rsidR="00171D1D" w:rsidRPr="00592BA7" w:rsidTr="00592BA7">
        <w:trPr>
          <w:cantSplit/>
        </w:trPr>
        <w:tc>
          <w:tcPr>
            <w:tcW w:w="877"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rPr>
              <w:lastRenderedPageBreak/>
              <w:t>Скважина</w:t>
            </w:r>
          </w:p>
        </w:tc>
        <w:tc>
          <w:tcPr>
            <w:tcW w:w="953" w:type="pct"/>
            <w:vAlign w:val="center"/>
          </w:tcPr>
          <w:p w:rsidR="00171D1D" w:rsidRPr="00592BA7" w:rsidRDefault="00171D1D" w:rsidP="00592BA7">
            <w:pPr>
              <w:jc w:val="both"/>
              <w:rPr>
                <w:rFonts w:ascii="Times New Roman" w:hAnsi="Times New Roman" w:cs="Times New Roman"/>
                <w:sz w:val="20"/>
                <w:szCs w:val="20"/>
                <w:highlight w:val="red"/>
              </w:rPr>
            </w:pPr>
            <w:r w:rsidRPr="00592BA7">
              <w:rPr>
                <w:rFonts w:ascii="Times New Roman" w:hAnsi="Times New Roman" w:cs="Times New Roman"/>
                <w:sz w:val="20"/>
                <w:szCs w:val="20"/>
              </w:rPr>
              <w:t>п.Мыслец, кардон "Хмелевский" Краснооктябрьское поселение</w:t>
            </w:r>
          </w:p>
        </w:tc>
        <w:tc>
          <w:tcPr>
            <w:tcW w:w="970"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 Мыслец</w:t>
            </w:r>
          </w:p>
        </w:tc>
        <w:tc>
          <w:tcPr>
            <w:tcW w:w="970"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МУП «Юманайское ЖКХ</w:t>
            </w:r>
          </w:p>
        </w:tc>
        <w:tc>
          <w:tcPr>
            <w:tcW w:w="1230"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Администрация Шумерлинского муниципального округа</w:t>
            </w:r>
          </w:p>
        </w:tc>
      </w:tr>
    </w:tbl>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В муниципальном округе договоры водоснабжения заключаются с абонентами: управляющими организациями, собственниками помещений в многоквартирных жилых домах, собственниками индивидуальных жилых домов, нанимателями помещений в многоквартирных жилых домах, собственниками индивидуальных жилых домов, предприятиями. Договоры на отпуск питьевой воды заключаются в соответствии с требованиями, относящимися к публичным договорам и договорам энергоснабжения (статьи 426, 539 - 548 Гражданского кодекса Российской Федерации).</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Описание территорий, не охваченных централизованными системами водоснабжения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На территориях, не охваченных централизованными системами водоснабжения, используются шахтные колодцы, поверхностные источники водоснабжения.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3.4.2. Анализ существующего технического состояния системы водоснабжения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3.4.2.1. Анализ эффективности и надежности имеющихся источников водоснабжения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Площадные объекты</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На участке «Шумерлинский -2» пробурено 9 скважин, из которых действуют -3, в резерве – 3, «наблюдательные» -4. Учёт забираемой воды из скважин ведется счетчиками холодной воды.</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Забор воды из поверхностного водного объекта (р. Сура) осуществляется водозаборными сооружениями (Сурский водозабор), расположенным на расстоянии 177 км от её устья.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Водоснабжение Шумерлинского муниципального округа осуществляется от скважин насосами I подъема по ниткам водовода протяженностью 87,026 км поступает в разводящие сети населённых пуктов. В качестве регулирующей емкости используется накопительные баки (водонапорные башни). </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На территории Шумерлинского муниципального округа водоснабжение осуществляется подземной водой из артезианских скважин. Характеристика водозаборов на территории муниципального образования отображена в таблице 3.4.2.1.1.</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Таблица 3.4.2.1.1 </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Характеристика водозаборов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85"/>
        <w:gridCol w:w="1790"/>
        <w:gridCol w:w="1790"/>
        <w:gridCol w:w="2586"/>
      </w:tblGrid>
      <w:tr w:rsidR="00171D1D" w:rsidRPr="00592BA7" w:rsidTr="00592BA7">
        <w:trPr>
          <w:cantSplit/>
          <w:tblHeader/>
          <w:jc w:val="center"/>
        </w:trPr>
        <w:tc>
          <w:tcPr>
            <w:tcW w:w="1838"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Наименование ВЗУ и его местоположение</w:t>
            </w:r>
          </w:p>
        </w:tc>
        <w:tc>
          <w:tcPr>
            <w:tcW w:w="918"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Глубина, м</w:t>
            </w:r>
          </w:p>
        </w:tc>
        <w:tc>
          <w:tcPr>
            <w:tcW w:w="918"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Год бурения</w:t>
            </w:r>
          </w:p>
        </w:tc>
        <w:tc>
          <w:tcPr>
            <w:tcW w:w="1326"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Наличие приборов учета воды</w:t>
            </w:r>
          </w:p>
        </w:tc>
      </w:tr>
      <w:tr w:rsidR="00171D1D" w:rsidRPr="00592BA7" w:rsidTr="00592BA7">
        <w:trPr>
          <w:cantSplit/>
          <w:jc w:val="center"/>
        </w:trPr>
        <w:tc>
          <w:tcPr>
            <w:tcW w:w="1838"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 Кабаново</w:t>
            </w:r>
          </w:p>
        </w:tc>
        <w:tc>
          <w:tcPr>
            <w:tcW w:w="918"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41,0</w:t>
            </w:r>
          </w:p>
        </w:tc>
        <w:tc>
          <w:tcPr>
            <w:tcW w:w="918"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2006</w:t>
            </w:r>
          </w:p>
        </w:tc>
        <w:tc>
          <w:tcPr>
            <w:tcW w:w="1326"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есть</w:t>
            </w:r>
          </w:p>
        </w:tc>
      </w:tr>
      <w:tr w:rsidR="00171D1D" w:rsidRPr="00592BA7" w:rsidTr="00592BA7">
        <w:trPr>
          <w:cantSplit/>
          <w:jc w:val="center"/>
        </w:trPr>
        <w:tc>
          <w:tcPr>
            <w:tcW w:w="1838"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 Бол. Алгаши</w:t>
            </w:r>
          </w:p>
        </w:tc>
        <w:tc>
          <w:tcPr>
            <w:tcW w:w="918"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35,0</w:t>
            </w:r>
          </w:p>
        </w:tc>
        <w:tc>
          <w:tcPr>
            <w:tcW w:w="918"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1985</w:t>
            </w:r>
          </w:p>
        </w:tc>
        <w:tc>
          <w:tcPr>
            <w:tcW w:w="1326"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есть</w:t>
            </w:r>
          </w:p>
        </w:tc>
      </w:tr>
      <w:tr w:rsidR="00171D1D" w:rsidRPr="00592BA7" w:rsidTr="00592BA7">
        <w:trPr>
          <w:cantSplit/>
          <w:jc w:val="center"/>
        </w:trPr>
        <w:tc>
          <w:tcPr>
            <w:tcW w:w="1838"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 Русс. Алгаши</w:t>
            </w:r>
          </w:p>
        </w:tc>
        <w:tc>
          <w:tcPr>
            <w:tcW w:w="918"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35</w:t>
            </w:r>
          </w:p>
        </w:tc>
        <w:tc>
          <w:tcPr>
            <w:tcW w:w="918"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1976</w:t>
            </w:r>
          </w:p>
        </w:tc>
        <w:tc>
          <w:tcPr>
            <w:tcW w:w="1326"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есть</w:t>
            </w:r>
          </w:p>
        </w:tc>
      </w:tr>
      <w:tr w:rsidR="00171D1D" w:rsidRPr="00592BA7" w:rsidTr="00592BA7">
        <w:trPr>
          <w:cantSplit/>
          <w:jc w:val="center"/>
        </w:trPr>
        <w:tc>
          <w:tcPr>
            <w:tcW w:w="1838"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 Русс. Алгаши</w:t>
            </w:r>
          </w:p>
        </w:tc>
        <w:tc>
          <w:tcPr>
            <w:tcW w:w="918"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30</w:t>
            </w:r>
          </w:p>
        </w:tc>
        <w:tc>
          <w:tcPr>
            <w:tcW w:w="918"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1990</w:t>
            </w:r>
          </w:p>
        </w:tc>
        <w:tc>
          <w:tcPr>
            <w:tcW w:w="1326"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есть</w:t>
            </w:r>
          </w:p>
        </w:tc>
      </w:tr>
      <w:tr w:rsidR="00171D1D" w:rsidRPr="00592BA7" w:rsidTr="00592BA7">
        <w:trPr>
          <w:cantSplit/>
          <w:jc w:val="center"/>
        </w:trPr>
        <w:tc>
          <w:tcPr>
            <w:tcW w:w="1838"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д. Чуваш. Алгаши</w:t>
            </w:r>
          </w:p>
        </w:tc>
        <w:tc>
          <w:tcPr>
            <w:tcW w:w="918"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32</w:t>
            </w:r>
          </w:p>
        </w:tc>
        <w:tc>
          <w:tcPr>
            <w:tcW w:w="918"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1980</w:t>
            </w:r>
          </w:p>
        </w:tc>
        <w:tc>
          <w:tcPr>
            <w:tcW w:w="1326"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есть</w:t>
            </w:r>
          </w:p>
        </w:tc>
      </w:tr>
      <w:tr w:rsidR="00171D1D" w:rsidRPr="00592BA7" w:rsidTr="00592BA7">
        <w:trPr>
          <w:cantSplit/>
          <w:jc w:val="center"/>
        </w:trPr>
        <w:tc>
          <w:tcPr>
            <w:tcW w:w="1838"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д. Русс.  Алгаши</w:t>
            </w:r>
          </w:p>
        </w:tc>
        <w:tc>
          <w:tcPr>
            <w:tcW w:w="918"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24</w:t>
            </w:r>
          </w:p>
        </w:tc>
        <w:tc>
          <w:tcPr>
            <w:tcW w:w="918"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2021</w:t>
            </w:r>
          </w:p>
        </w:tc>
        <w:tc>
          <w:tcPr>
            <w:tcW w:w="1326"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есть</w:t>
            </w:r>
          </w:p>
        </w:tc>
      </w:tr>
      <w:tr w:rsidR="00171D1D" w:rsidRPr="00592BA7" w:rsidTr="00592BA7">
        <w:trPr>
          <w:cantSplit/>
          <w:jc w:val="center"/>
        </w:trPr>
        <w:tc>
          <w:tcPr>
            <w:tcW w:w="1838"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п. Мыслец</w:t>
            </w:r>
          </w:p>
        </w:tc>
        <w:tc>
          <w:tcPr>
            <w:tcW w:w="918"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38,0</w:t>
            </w:r>
          </w:p>
        </w:tc>
        <w:tc>
          <w:tcPr>
            <w:tcW w:w="918"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1999</w:t>
            </w:r>
          </w:p>
        </w:tc>
        <w:tc>
          <w:tcPr>
            <w:tcW w:w="1326"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есть</w:t>
            </w:r>
          </w:p>
        </w:tc>
      </w:tr>
      <w:tr w:rsidR="00171D1D" w:rsidRPr="00592BA7" w:rsidTr="00592BA7">
        <w:trPr>
          <w:cantSplit/>
          <w:jc w:val="center"/>
        </w:trPr>
        <w:tc>
          <w:tcPr>
            <w:tcW w:w="1838"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д. Ниж. Кумашка</w:t>
            </w:r>
          </w:p>
        </w:tc>
        <w:tc>
          <w:tcPr>
            <w:tcW w:w="918"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89,0</w:t>
            </w:r>
          </w:p>
        </w:tc>
        <w:tc>
          <w:tcPr>
            <w:tcW w:w="918"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1984</w:t>
            </w:r>
          </w:p>
        </w:tc>
        <w:tc>
          <w:tcPr>
            <w:tcW w:w="1326"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есть</w:t>
            </w:r>
          </w:p>
        </w:tc>
      </w:tr>
      <w:tr w:rsidR="00171D1D" w:rsidRPr="00592BA7" w:rsidTr="00592BA7">
        <w:trPr>
          <w:cantSplit/>
          <w:jc w:val="center"/>
        </w:trPr>
        <w:tc>
          <w:tcPr>
            <w:tcW w:w="1838"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д. Петропавловск</w:t>
            </w:r>
          </w:p>
        </w:tc>
        <w:tc>
          <w:tcPr>
            <w:tcW w:w="918"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53,0</w:t>
            </w:r>
          </w:p>
        </w:tc>
        <w:tc>
          <w:tcPr>
            <w:tcW w:w="918"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2006</w:t>
            </w:r>
          </w:p>
        </w:tc>
        <w:tc>
          <w:tcPr>
            <w:tcW w:w="1326"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есть</w:t>
            </w:r>
          </w:p>
        </w:tc>
      </w:tr>
      <w:tr w:rsidR="00171D1D" w:rsidRPr="00592BA7" w:rsidTr="00592BA7">
        <w:trPr>
          <w:cantSplit/>
          <w:jc w:val="center"/>
        </w:trPr>
        <w:tc>
          <w:tcPr>
            <w:tcW w:w="1838"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д.Торханы</w:t>
            </w:r>
          </w:p>
        </w:tc>
        <w:tc>
          <w:tcPr>
            <w:tcW w:w="918"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86,0</w:t>
            </w:r>
          </w:p>
        </w:tc>
        <w:tc>
          <w:tcPr>
            <w:tcW w:w="918"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1990</w:t>
            </w:r>
          </w:p>
        </w:tc>
        <w:tc>
          <w:tcPr>
            <w:tcW w:w="1326"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есть</w:t>
            </w:r>
          </w:p>
        </w:tc>
      </w:tr>
      <w:tr w:rsidR="00171D1D" w:rsidRPr="00592BA7" w:rsidTr="00592BA7">
        <w:trPr>
          <w:cantSplit/>
          <w:jc w:val="center"/>
        </w:trPr>
        <w:tc>
          <w:tcPr>
            <w:tcW w:w="1838"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д. Чертаганы</w:t>
            </w:r>
          </w:p>
        </w:tc>
        <w:tc>
          <w:tcPr>
            <w:tcW w:w="918"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59,0</w:t>
            </w:r>
          </w:p>
        </w:tc>
        <w:tc>
          <w:tcPr>
            <w:tcW w:w="918"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2006</w:t>
            </w:r>
          </w:p>
        </w:tc>
        <w:tc>
          <w:tcPr>
            <w:tcW w:w="1326"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есть</w:t>
            </w:r>
          </w:p>
        </w:tc>
      </w:tr>
      <w:tr w:rsidR="00171D1D" w:rsidRPr="00592BA7" w:rsidTr="00592BA7">
        <w:trPr>
          <w:cantSplit/>
          <w:jc w:val="center"/>
        </w:trPr>
        <w:tc>
          <w:tcPr>
            <w:tcW w:w="1838"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д. Чертаганы</w:t>
            </w:r>
          </w:p>
        </w:tc>
        <w:tc>
          <w:tcPr>
            <w:tcW w:w="918"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91,0</w:t>
            </w:r>
          </w:p>
        </w:tc>
        <w:tc>
          <w:tcPr>
            <w:tcW w:w="918"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2005</w:t>
            </w:r>
          </w:p>
        </w:tc>
        <w:tc>
          <w:tcPr>
            <w:tcW w:w="1326"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есть</w:t>
            </w:r>
          </w:p>
        </w:tc>
      </w:tr>
      <w:tr w:rsidR="00171D1D" w:rsidRPr="00592BA7" w:rsidTr="00592BA7">
        <w:trPr>
          <w:cantSplit/>
          <w:jc w:val="center"/>
        </w:trPr>
        <w:tc>
          <w:tcPr>
            <w:tcW w:w="1838"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д. Мал. Туваны</w:t>
            </w:r>
          </w:p>
        </w:tc>
        <w:tc>
          <w:tcPr>
            <w:tcW w:w="918"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112,0</w:t>
            </w:r>
          </w:p>
        </w:tc>
        <w:tc>
          <w:tcPr>
            <w:tcW w:w="918"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1999</w:t>
            </w:r>
          </w:p>
        </w:tc>
        <w:tc>
          <w:tcPr>
            <w:tcW w:w="1326"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есть</w:t>
            </w:r>
          </w:p>
        </w:tc>
      </w:tr>
      <w:tr w:rsidR="00171D1D" w:rsidRPr="00592BA7" w:rsidTr="00592BA7">
        <w:trPr>
          <w:cantSplit/>
          <w:jc w:val="center"/>
        </w:trPr>
        <w:tc>
          <w:tcPr>
            <w:tcW w:w="1838"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 Туваны</w:t>
            </w:r>
          </w:p>
        </w:tc>
        <w:tc>
          <w:tcPr>
            <w:tcW w:w="918"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108</w:t>
            </w:r>
          </w:p>
        </w:tc>
        <w:tc>
          <w:tcPr>
            <w:tcW w:w="918"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1982</w:t>
            </w:r>
          </w:p>
        </w:tc>
        <w:tc>
          <w:tcPr>
            <w:tcW w:w="1326"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есть</w:t>
            </w:r>
          </w:p>
        </w:tc>
      </w:tr>
      <w:tr w:rsidR="00171D1D" w:rsidRPr="00592BA7" w:rsidTr="00592BA7">
        <w:trPr>
          <w:cantSplit/>
          <w:jc w:val="center"/>
        </w:trPr>
        <w:tc>
          <w:tcPr>
            <w:tcW w:w="1838"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 Ходары</w:t>
            </w:r>
          </w:p>
        </w:tc>
        <w:tc>
          <w:tcPr>
            <w:tcW w:w="918"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86,0</w:t>
            </w:r>
          </w:p>
        </w:tc>
        <w:tc>
          <w:tcPr>
            <w:tcW w:w="918"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1975</w:t>
            </w:r>
          </w:p>
        </w:tc>
        <w:tc>
          <w:tcPr>
            <w:tcW w:w="1326"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есть</w:t>
            </w:r>
          </w:p>
        </w:tc>
      </w:tr>
      <w:tr w:rsidR="00171D1D" w:rsidRPr="00592BA7" w:rsidTr="00592BA7">
        <w:trPr>
          <w:cantSplit/>
          <w:jc w:val="center"/>
        </w:trPr>
        <w:tc>
          <w:tcPr>
            <w:tcW w:w="1838"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 Ходары</w:t>
            </w:r>
          </w:p>
        </w:tc>
        <w:tc>
          <w:tcPr>
            <w:tcW w:w="918"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101,0</w:t>
            </w:r>
          </w:p>
        </w:tc>
        <w:tc>
          <w:tcPr>
            <w:tcW w:w="918"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2008</w:t>
            </w:r>
          </w:p>
        </w:tc>
        <w:tc>
          <w:tcPr>
            <w:tcW w:w="1326"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есть</w:t>
            </w:r>
          </w:p>
        </w:tc>
      </w:tr>
      <w:tr w:rsidR="00171D1D" w:rsidRPr="00592BA7" w:rsidTr="00592BA7">
        <w:trPr>
          <w:cantSplit/>
          <w:jc w:val="center"/>
        </w:trPr>
        <w:tc>
          <w:tcPr>
            <w:tcW w:w="1838"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д. Егоркино</w:t>
            </w:r>
          </w:p>
        </w:tc>
        <w:tc>
          <w:tcPr>
            <w:tcW w:w="918"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134,0</w:t>
            </w:r>
          </w:p>
        </w:tc>
        <w:tc>
          <w:tcPr>
            <w:tcW w:w="918"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1984</w:t>
            </w:r>
          </w:p>
        </w:tc>
        <w:tc>
          <w:tcPr>
            <w:tcW w:w="1326"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есть</w:t>
            </w:r>
          </w:p>
        </w:tc>
      </w:tr>
      <w:tr w:rsidR="00171D1D" w:rsidRPr="00592BA7" w:rsidTr="00592BA7">
        <w:trPr>
          <w:cantSplit/>
          <w:jc w:val="center"/>
        </w:trPr>
        <w:tc>
          <w:tcPr>
            <w:tcW w:w="1838"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д. Егоркино</w:t>
            </w:r>
          </w:p>
        </w:tc>
        <w:tc>
          <w:tcPr>
            <w:tcW w:w="918"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110,0</w:t>
            </w:r>
          </w:p>
        </w:tc>
        <w:tc>
          <w:tcPr>
            <w:tcW w:w="918"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1965</w:t>
            </w:r>
          </w:p>
        </w:tc>
        <w:tc>
          <w:tcPr>
            <w:tcW w:w="1326"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есть</w:t>
            </w:r>
          </w:p>
        </w:tc>
      </w:tr>
      <w:tr w:rsidR="00171D1D" w:rsidRPr="00592BA7" w:rsidTr="00592BA7">
        <w:trPr>
          <w:cantSplit/>
          <w:jc w:val="center"/>
        </w:trPr>
        <w:tc>
          <w:tcPr>
            <w:tcW w:w="1838"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 Юманаи</w:t>
            </w:r>
          </w:p>
        </w:tc>
        <w:tc>
          <w:tcPr>
            <w:tcW w:w="918"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120</w:t>
            </w:r>
          </w:p>
        </w:tc>
        <w:tc>
          <w:tcPr>
            <w:tcW w:w="918"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2007</w:t>
            </w:r>
          </w:p>
        </w:tc>
        <w:tc>
          <w:tcPr>
            <w:tcW w:w="1326"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есть</w:t>
            </w:r>
          </w:p>
        </w:tc>
      </w:tr>
      <w:tr w:rsidR="00171D1D" w:rsidRPr="00592BA7" w:rsidTr="00592BA7">
        <w:trPr>
          <w:cantSplit/>
          <w:jc w:val="center"/>
        </w:trPr>
        <w:tc>
          <w:tcPr>
            <w:tcW w:w="1838"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 Юманаи</w:t>
            </w:r>
          </w:p>
        </w:tc>
        <w:tc>
          <w:tcPr>
            <w:tcW w:w="918"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116</w:t>
            </w:r>
          </w:p>
        </w:tc>
        <w:tc>
          <w:tcPr>
            <w:tcW w:w="918"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1976</w:t>
            </w:r>
          </w:p>
        </w:tc>
        <w:tc>
          <w:tcPr>
            <w:tcW w:w="1326"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есть</w:t>
            </w:r>
          </w:p>
        </w:tc>
      </w:tr>
      <w:tr w:rsidR="00171D1D" w:rsidRPr="00592BA7" w:rsidTr="00592BA7">
        <w:trPr>
          <w:cantSplit/>
          <w:jc w:val="center"/>
        </w:trPr>
        <w:tc>
          <w:tcPr>
            <w:tcW w:w="1838"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 Юманаи</w:t>
            </w:r>
          </w:p>
        </w:tc>
        <w:tc>
          <w:tcPr>
            <w:tcW w:w="918"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120</w:t>
            </w:r>
          </w:p>
        </w:tc>
        <w:tc>
          <w:tcPr>
            <w:tcW w:w="918"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2007</w:t>
            </w:r>
          </w:p>
        </w:tc>
        <w:tc>
          <w:tcPr>
            <w:tcW w:w="1326"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есть</w:t>
            </w:r>
          </w:p>
        </w:tc>
      </w:tr>
      <w:tr w:rsidR="00171D1D" w:rsidRPr="00592BA7" w:rsidTr="00592BA7">
        <w:trPr>
          <w:cantSplit/>
          <w:trHeight w:val="202"/>
          <w:jc w:val="center"/>
        </w:trPr>
        <w:tc>
          <w:tcPr>
            <w:tcW w:w="1838"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д. Кадеркино</w:t>
            </w:r>
          </w:p>
        </w:tc>
        <w:tc>
          <w:tcPr>
            <w:tcW w:w="918"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61</w:t>
            </w:r>
          </w:p>
        </w:tc>
        <w:tc>
          <w:tcPr>
            <w:tcW w:w="918"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1999</w:t>
            </w:r>
          </w:p>
        </w:tc>
        <w:tc>
          <w:tcPr>
            <w:tcW w:w="1326"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есть</w:t>
            </w:r>
          </w:p>
        </w:tc>
      </w:tr>
      <w:tr w:rsidR="00171D1D" w:rsidRPr="00592BA7" w:rsidTr="00592BA7">
        <w:trPr>
          <w:cantSplit/>
          <w:jc w:val="center"/>
        </w:trPr>
        <w:tc>
          <w:tcPr>
            <w:tcW w:w="1838"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д. Шумерля (9 скважин)</w:t>
            </w:r>
          </w:p>
        </w:tc>
        <w:tc>
          <w:tcPr>
            <w:tcW w:w="918"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918"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326"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r>
      <w:tr w:rsidR="00171D1D" w:rsidRPr="00592BA7" w:rsidTr="00592BA7">
        <w:trPr>
          <w:cantSplit/>
          <w:jc w:val="center"/>
        </w:trPr>
        <w:tc>
          <w:tcPr>
            <w:tcW w:w="1838"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д. Шумерля Поверхностный водозабор</w:t>
            </w:r>
          </w:p>
        </w:tc>
        <w:tc>
          <w:tcPr>
            <w:tcW w:w="918"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c>
          <w:tcPr>
            <w:tcW w:w="918"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326"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r>
    </w:tbl>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Качественное водоснабжение потребителей в указанных зонах водоснабжения обеспечивают насосы, марки ЭЦВ. Техническое состояние насосного оборудования удовлетворительное. Работа насосов скважин осуществляется в автоматическом режиме, в зависимости от наполнения водонапорной башни (накопительного бака). Характеристика насосного оборудования отсутствует.</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Энергоэффективность холодного водоснабжения определялась по фактическим показателям и оценивается как соотношение расхода электрической энергии, необходимого для подготовки, транспортировки установленного объёма воды, заданного уровня напора (давления).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Анализ результатов расчёта показателей энергоэффективности холодного водоснабжения показал, что достигнутый ими уровень является энергоэффективным, т.к. не превышает нормативный показатель 0,6-0,8 кВт*ч/м3. Показатель достигается за счет работы башни (накопительного бака).</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Качество эксплуатации, наладки и ремонтов</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Прямым показателем качества эксплуатации, наладки и ремонтов выступает обеспечение потребителей водой в требуемом количестве заданного качества. Случаев подачи воды по графику (менее 24 часов в сутки) за 2023 год не отмечено.</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Доля проб питьевой воды, соответствующей санитарным нормам, составляет 100%.</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Системы учета ресурсов</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Бюджетные организации и большая часть населения оснащены приборами учета холодной воды.</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Сведения по приборам учета на сооружениях водоснабжения отсутствуют.</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На ближайшую перспективу необходимо в первую очередь оборудовать приборами учета всех абонентов централизованной системы водоснабжения.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Расход ресурсов</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Таблица 3.4.2.1.2</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6"/>
        <w:gridCol w:w="4966"/>
        <w:gridCol w:w="1113"/>
        <w:gridCol w:w="910"/>
        <w:gridCol w:w="1356"/>
        <w:gridCol w:w="892"/>
      </w:tblGrid>
      <w:tr w:rsidR="00171D1D" w:rsidRPr="00592BA7" w:rsidTr="00592BA7">
        <w:trPr>
          <w:trHeight w:val="20"/>
          <w:tblHeader/>
          <w:jc w:val="center"/>
        </w:trPr>
        <w:tc>
          <w:tcPr>
            <w:tcW w:w="313" w:type="pct"/>
            <w:vMerge w:val="restar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п/п</w:t>
            </w:r>
          </w:p>
        </w:tc>
        <w:tc>
          <w:tcPr>
            <w:tcW w:w="2522" w:type="pct"/>
            <w:vMerge w:val="restart"/>
            <w:noWrap/>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Статья расхода</w:t>
            </w:r>
          </w:p>
        </w:tc>
        <w:tc>
          <w:tcPr>
            <w:tcW w:w="564" w:type="pct"/>
            <w:vMerge w:val="restar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Единица измерения</w:t>
            </w:r>
          </w:p>
        </w:tc>
        <w:tc>
          <w:tcPr>
            <w:tcW w:w="1600" w:type="pct"/>
            <w:gridSpan w:val="3"/>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Шумерлинский муниципальный округ</w:t>
            </w:r>
          </w:p>
        </w:tc>
      </w:tr>
      <w:tr w:rsidR="00171D1D" w:rsidRPr="00592BA7" w:rsidTr="00592BA7">
        <w:trPr>
          <w:trHeight w:val="20"/>
          <w:tblHeader/>
          <w:jc w:val="center"/>
        </w:trPr>
        <w:tc>
          <w:tcPr>
            <w:tcW w:w="313" w:type="pct"/>
            <w:vMerge/>
            <w:vAlign w:val="center"/>
          </w:tcPr>
          <w:p w:rsidR="00171D1D" w:rsidRPr="00592BA7" w:rsidRDefault="00171D1D" w:rsidP="00592BA7">
            <w:pPr>
              <w:jc w:val="both"/>
              <w:rPr>
                <w:rFonts w:ascii="Times New Roman" w:hAnsi="Times New Roman" w:cs="Times New Roman"/>
                <w:sz w:val="20"/>
                <w:szCs w:val="20"/>
                <w:lang w:eastAsia="ru-RU"/>
              </w:rPr>
            </w:pPr>
          </w:p>
        </w:tc>
        <w:tc>
          <w:tcPr>
            <w:tcW w:w="2522" w:type="pct"/>
            <w:vMerge/>
            <w:noWrap/>
            <w:vAlign w:val="center"/>
          </w:tcPr>
          <w:p w:rsidR="00171D1D" w:rsidRPr="00592BA7" w:rsidRDefault="00171D1D" w:rsidP="00592BA7">
            <w:pPr>
              <w:jc w:val="both"/>
              <w:rPr>
                <w:rFonts w:ascii="Times New Roman" w:hAnsi="Times New Roman" w:cs="Times New Roman"/>
                <w:sz w:val="20"/>
                <w:szCs w:val="20"/>
                <w:lang w:eastAsia="ru-RU"/>
              </w:rPr>
            </w:pPr>
          </w:p>
        </w:tc>
        <w:tc>
          <w:tcPr>
            <w:tcW w:w="564" w:type="pct"/>
            <w:vMerge/>
            <w:vAlign w:val="center"/>
          </w:tcPr>
          <w:p w:rsidR="00171D1D" w:rsidRPr="00592BA7" w:rsidRDefault="00171D1D" w:rsidP="00592BA7">
            <w:pPr>
              <w:jc w:val="both"/>
              <w:rPr>
                <w:rFonts w:ascii="Times New Roman" w:hAnsi="Times New Roman" w:cs="Times New Roman"/>
                <w:sz w:val="20"/>
                <w:szCs w:val="20"/>
                <w:lang w:eastAsia="ru-RU"/>
              </w:rPr>
            </w:pPr>
          </w:p>
        </w:tc>
        <w:tc>
          <w:tcPr>
            <w:tcW w:w="463"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ХВС</w:t>
            </w:r>
          </w:p>
        </w:tc>
        <w:tc>
          <w:tcPr>
            <w:tcW w:w="689"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 том числе ГВС</w:t>
            </w:r>
          </w:p>
        </w:tc>
        <w:tc>
          <w:tcPr>
            <w:tcW w:w="447"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Технич.</w:t>
            </w:r>
          </w:p>
        </w:tc>
      </w:tr>
      <w:tr w:rsidR="00171D1D" w:rsidRPr="00592BA7" w:rsidTr="00592BA7">
        <w:trPr>
          <w:trHeight w:val="20"/>
          <w:jc w:val="center"/>
        </w:trPr>
        <w:tc>
          <w:tcPr>
            <w:tcW w:w="313"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w:t>
            </w:r>
          </w:p>
        </w:tc>
        <w:tc>
          <w:tcPr>
            <w:tcW w:w="2522"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Поднято воды, всего</w:t>
            </w:r>
          </w:p>
        </w:tc>
        <w:tc>
          <w:tcPr>
            <w:tcW w:w="564"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тыс. м3</w:t>
            </w:r>
          </w:p>
        </w:tc>
        <w:tc>
          <w:tcPr>
            <w:tcW w:w="463"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rPr>
              <w:t>174,656</w:t>
            </w:r>
          </w:p>
        </w:tc>
        <w:tc>
          <w:tcPr>
            <w:tcW w:w="689"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w:t>
            </w:r>
          </w:p>
        </w:tc>
        <w:tc>
          <w:tcPr>
            <w:tcW w:w="447"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w:t>
            </w:r>
          </w:p>
        </w:tc>
      </w:tr>
      <w:tr w:rsidR="00171D1D" w:rsidRPr="00592BA7" w:rsidTr="00592BA7">
        <w:trPr>
          <w:trHeight w:val="20"/>
          <w:jc w:val="center"/>
        </w:trPr>
        <w:tc>
          <w:tcPr>
            <w:tcW w:w="313" w:type="pct"/>
            <w:vAlign w:val="center"/>
          </w:tcPr>
          <w:p w:rsidR="00171D1D" w:rsidRPr="00592BA7" w:rsidRDefault="00171D1D" w:rsidP="00592BA7">
            <w:pPr>
              <w:jc w:val="both"/>
              <w:rPr>
                <w:rFonts w:ascii="Times New Roman" w:hAnsi="Times New Roman" w:cs="Times New Roman"/>
                <w:sz w:val="20"/>
                <w:szCs w:val="20"/>
                <w:lang w:eastAsia="ru-RU"/>
              </w:rPr>
            </w:pPr>
          </w:p>
        </w:tc>
        <w:tc>
          <w:tcPr>
            <w:tcW w:w="4687" w:type="pct"/>
            <w:gridSpan w:val="5"/>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 т.ч.</w:t>
            </w:r>
          </w:p>
        </w:tc>
      </w:tr>
      <w:tr w:rsidR="00171D1D" w:rsidRPr="00592BA7" w:rsidTr="00592BA7">
        <w:trPr>
          <w:trHeight w:val="20"/>
          <w:jc w:val="center"/>
        </w:trPr>
        <w:tc>
          <w:tcPr>
            <w:tcW w:w="313"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1.1</w:t>
            </w:r>
          </w:p>
        </w:tc>
        <w:tc>
          <w:tcPr>
            <w:tcW w:w="2522"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из поверхностных источников</w:t>
            </w:r>
          </w:p>
        </w:tc>
        <w:tc>
          <w:tcPr>
            <w:tcW w:w="564"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lang w:eastAsia="ru-RU"/>
              </w:rPr>
              <w:t>тыс. м3</w:t>
            </w:r>
          </w:p>
        </w:tc>
        <w:tc>
          <w:tcPr>
            <w:tcW w:w="463"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rPr>
              <w:t>32,604</w:t>
            </w:r>
          </w:p>
        </w:tc>
        <w:tc>
          <w:tcPr>
            <w:tcW w:w="689"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c>
          <w:tcPr>
            <w:tcW w:w="447"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r>
      <w:tr w:rsidR="00171D1D" w:rsidRPr="00592BA7" w:rsidTr="00592BA7">
        <w:trPr>
          <w:trHeight w:val="20"/>
          <w:jc w:val="center"/>
        </w:trPr>
        <w:tc>
          <w:tcPr>
            <w:tcW w:w="313"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1.2</w:t>
            </w:r>
          </w:p>
        </w:tc>
        <w:tc>
          <w:tcPr>
            <w:tcW w:w="2522"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из подземных источников</w:t>
            </w:r>
          </w:p>
        </w:tc>
        <w:tc>
          <w:tcPr>
            <w:tcW w:w="564"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lang w:eastAsia="ru-RU"/>
              </w:rPr>
              <w:t>тыс. м3</w:t>
            </w:r>
          </w:p>
        </w:tc>
        <w:tc>
          <w:tcPr>
            <w:tcW w:w="463"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142,052</w:t>
            </w:r>
          </w:p>
        </w:tc>
        <w:tc>
          <w:tcPr>
            <w:tcW w:w="689"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c>
          <w:tcPr>
            <w:tcW w:w="447"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r>
      <w:tr w:rsidR="00171D1D" w:rsidRPr="00592BA7" w:rsidTr="00592BA7">
        <w:trPr>
          <w:trHeight w:val="20"/>
          <w:jc w:val="center"/>
        </w:trPr>
        <w:tc>
          <w:tcPr>
            <w:tcW w:w="313"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w:t>
            </w:r>
          </w:p>
        </w:tc>
        <w:tc>
          <w:tcPr>
            <w:tcW w:w="2522"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Пропущено воды через очистные сооружения водозабора</w:t>
            </w:r>
          </w:p>
        </w:tc>
        <w:tc>
          <w:tcPr>
            <w:tcW w:w="564"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lang w:eastAsia="ru-RU"/>
              </w:rPr>
              <w:t>тыс. м3</w:t>
            </w:r>
          </w:p>
        </w:tc>
        <w:tc>
          <w:tcPr>
            <w:tcW w:w="463"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689"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c>
          <w:tcPr>
            <w:tcW w:w="447"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r>
      <w:tr w:rsidR="00171D1D" w:rsidRPr="00592BA7" w:rsidTr="00592BA7">
        <w:trPr>
          <w:trHeight w:val="20"/>
          <w:jc w:val="center"/>
        </w:trPr>
        <w:tc>
          <w:tcPr>
            <w:tcW w:w="313"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w:t>
            </w:r>
          </w:p>
        </w:tc>
        <w:tc>
          <w:tcPr>
            <w:tcW w:w="2522"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Расходы на технологические нужды водоснабжения</w:t>
            </w:r>
          </w:p>
        </w:tc>
        <w:tc>
          <w:tcPr>
            <w:tcW w:w="564"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тыс. м3</w:t>
            </w:r>
          </w:p>
        </w:tc>
        <w:tc>
          <w:tcPr>
            <w:tcW w:w="463"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689"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c>
          <w:tcPr>
            <w:tcW w:w="447"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r>
      <w:tr w:rsidR="00171D1D" w:rsidRPr="00592BA7" w:rsidTr="00592BA7">
        <w:trPr>
          <w:trHeight w:val="20"/>
          <w:jc w:val="center"/>
        </w:trPr>
        <w:tc>
          <w:tcPr>
            <w:tcW w:w="313"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4</w:t>
            </w:r>
          </w:p>
        </w:tc>
        <w:tc>
          <w:tcPr>
            <w:tcW w:w="2522"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Получено воды со стороны</w:t>
            </w:r>
          </w:p>
        </w:tc>
        <w:tc>
          <w:tcPr>
            <w:tcW w:w="564"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lang w:eastAsia="ru-RU"/>
              </w:rPr>
              <w:t>тыс. м3</w:t>
            </w:r>
          </w:p>
        </w:tc>
        <w:tc>
          <w:tcPr>
            <w:tcW w:w="463"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c>
          <w:tcPr>
            <w:tcW w:w="689"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c>
          <w:tcPr>
            <w:tcW w:w="447"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r>
      <w:tr w:rsidR="00171D1D" w:rsidRPr="00592BA7" w:rsidTr="00592BA7">
        <w:trPr>
          <w:trHeight w:val="20"/>
          <w:jc w:val="center"/>
        </w:trPr>
        <w:tc>
          <w:tcPr>
            <w:tcW w:w="313"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5</w:t>
            </w:r>
          </w:p>
        </w:tc>
        <w:tc>
          <w:tcPr>
            <w:tcW w:w="2522"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lang w:eastAsia="ru-RU"/>
              </w:rPr>
              <w:t>Потери воды в сетях</w:t>
            </w:r>
          </w:p>
        </w:tc>
        <w:tc>
          <w:tcPr>
            <w:tcW w:w="564"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lang w:eastAsia="ru-RU"/>
              </w:rPr>
              <w:t>тыс. м3</w:t>
            </w:r>
          </w:p>
        </w:tc>
        <w:tc>
          <w:tcPr>
            <w:tcW w:w="463"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689"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c>
          <w:tcPr>
            <w:tcW w:w="447"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r>
      <w:tr w:rsidR="00171D1D" w:rsidRPr="00592BA7" w:rsidTr="00592BA7">
        <w:trPr>
          <w:trHeight w:val="20"/>
          <w:jc w:val="center"/>
        </w:trPr>
        <w:tc>
          <w:tcPr>
            <w:tcW w:w="313"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6</w:t>
            </w:r>
          </w:p>
        </w:tc>
        <w:tc>
          <w:tcPr>
            <w:tcW w:w="2522"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Полезный отпуск воды</w:t>
            </w:r>
          </w:p>
        </w:tc>
        <w:tc>
          <w:tcPr>
            <w:tcW w:w="564"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lang w:eastAsia="ru-RU"/>
              </w:rPr>
              <w:t>тыс. м3</w:t>
            </w:r>
          </w:p>
        </w:tc>
        <w:tc>
          <w:tcPr>
            <w:tcW w:w="463"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173,285</w:t>
            </w:r>
          </w:p>
        </w:tc>
        <w:tc>
          <w:tcPr>
            <w:tcW w:w="689"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c>
          <w:tcPr>
            <w:tcW w:w="447"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r>
      <w:tr w:rsidR="00171D1D" w:rsidRPr="00592BA7" w:rsidTr="00592BA7">
        <w:trPr>
          <w:trHeight w:val="20"/>
          <w:jc w:val="center"/>
        </w:trPr>
        <w:tc>
          <w:tcPr>
            <w:tcW w:w="313" w:type="pct"/>
            <w:vAlign w:val="center"/>
          </w:tcPr>
          <w:p w:rsidR="00171D1D" w:rsidRPr="00592BA7" w:rsidRDefault="00171D1D" w:rsidP="00592BA7">
            <w:pPr>
              <w:jc w:val="both"/>
              <w:rPr>
                <w:rFonts w:ascii="Times New Roman" w:hAnsi="Times New Roman" w:cs="Times New Roman"/>
                <w:sz w:val="20"/>
                <w:szCs w:val="20"/>
                <w:lang w:eastAsia="ru-RU"/>
              </w:rPr>
            </w:pPr>
          </w:p>
        </w:tc>
        <w:tc>
          <w:tcPr>
            <w:tcW w:w="4687" w:type="pct"/>
            <w:gridSpan w:val="5"/>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lang w:eastAsia="ru-RU"/>
              </w:rPr>
              <w:t>в т.ч.</w:t>
            </w:r>
          </w:p>
        </w:tc>
      </w:tr>
      <w:tr w:rsidR="00171D1D" w:rsidRPr="00592BA7" w:rsidTr="00592BA7">
        <w:trPr>
          <w:trHeight w:val="20"/>
          <w:jc w:val="center"/>
        </w:trPr>
        <w:tc>
          <w:tcPr>
            <w:tcW w:w="313"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6.1</w:t>
            </w:r>
          </w:p>
        </w:tc>
        <w:tc>
          <w:tcPr>
            <w:tcW w:w="2522"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собственное потребление организации</w:t>
            </w:r>
          </w:p>
        </w:tc>
        <w:tc>
          <w:tcPr>
            <w:tcW w:w="564"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lang w:eastAsia="ru-RU"/>
              </w:rPr>
              <w:t>тыс. м3</w:t>
            </w:r>
          </w:p>
        </w:tc>
        <w:tc>
          <w:tcPr>
            <w:tcW w:w="463"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689"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c>
          <w:tcPr>
            <w:tcW w:w="447"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r>
      <w:tr w:rsidR="00171D1D" w:rsidRPr="00592BA7" w:rsidTr="00592BA7">
        <w:trPr>
          <w:trHeight w:val="20"/>
          <w:jc w:val="center"/>
        </w:trPr>
        <w:tc>
          <w:tcPr>
            <w:tcW w:w="313"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6.2</w:t>
            </w:r>
          </w:p>
        </w:tc>
        <w:tc>
          <w:tcPr>
            <w:tcW w:w="2522"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отпуск потребителям (продажа), всего</w:t>
            </w:r>
          </w:p>
        </w:tc>
        <w:tc>
          <w:tcPr>
            <w:tcW w:w="564"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тыс. м3</w:t>
            </w:r>
          </w:p>
        </w:tc>
        <w:tc>
          <w:tcPr>
            <w:tcW w:w="463"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173,285</w:t>
            </w:r>
          </w:p>
        </w:tc>
        <w:tc>
          <w:tcPr>
            <w:tcW w:w="689"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c>
          <w:tcPr>
            <w:tcW w:w="447"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r>
      <w:tr w:rsidR="00171D1D" w:rsidRPr="00592BA7" w:rsidTr="00592BA7">
        <w:trPr>
          <w:trHeight w:val="20"/>
          <w:jc w:val="center"/>
        </w:trPr>
        <w:tc>
          <w:tcPr>
            <w:tcW w:w="313" w:type="pct"/>
            <w:vAlign w:val="center"/>
          </w:tcPr>
          <w:p w:rsidR="00171D1D" w:rsidRPr="00592BA7" w:rsidRDefault="00171D1D" w:rsidP="00592BA7">
            <w:pPr>
              <w:jc w:val="both"/>
              <w:rPr>
                <w:rFonts w:ascii="Times New Roman" w:hAnsi="Times New Roman" w:cs="Times New Roman"/>
                <w:sz w:val="20"/>
                <w:szCs w:val="20"/>
                <w:lang w:eastAsia="ru-RU"/>
              </w:rPr>
            </w:pPr>
          </w:p>
        </w:tc>
        <w:tc>
          <w:tcPr>
            <w:tcW w:w="4687" w:type="pct"/>
            <w:gridSpan w:val="5"/>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lang w:eastAsia="ru-RU"/>
              </w:rPr>
              <w:t>в т.ч.</w:t>
            </w:r>
          </w:p>
        </w:tc>
      </w:tr>
      <w:tr w:rsidR="00171D1D" w:rsidRPr="00592BA7" w:rsidTr="00592BA7">
        <w:trPr>
          <w:trHeight w:val="20"/>
          <w:jc w:val="center"/>
        </w:trPr>
        <w:tc>
          <w:tcPr>
            <w:tcW w:w="313"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6.2.1</w:t>
            </w:r>
          </w:p>
        </w:tc>
        <w:tc>
          <w:tcPr>
            <w:tcW w:w="2522"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населению</w:t>
            </w:r>
          </w:p>
        </w:tc>
        <w:tc>
          <w:tcPr>
            <w:tcW w:w="564"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тыс. м3</w:t>
            </w:r>
          </w:p>
        </w:tc>
        <w:tc>
          <w:tcPr>
            <w:tcW w:w="463"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689"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c>
          <w:tcPr>
            <w:tcW w:w="447"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r>
      <w:tr w:rsidR="00171D1D" w:rsidRPr="00592BA7" w:rsidTr="00592BA7">
        <w:trPr>
          <w:trHeight w:val="20"/>
          <w:jc w:val="center"/>
        </w:trPr>
        <w:tc>
          <w:tcPr>
            <w:tcW w:w="313"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6.2.2</w:t>
            </w:r>
          </w:p>
        </w:tc>
        <w:tc>
          <w:tcPr>
            <w:tcW w:w="2522"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бюджетные организации</w:t>
            </w:r>
          </w:p>
        </w:tc>
        <w:tc>
          <w:tcPr>
            <w:tcW w:w="564"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тыс. м3</w:t>
            </w:r>
          </w:p>
        </w:tc>
        <w:tc>
          <w:tcPr>
            <w:tcW w:w="463"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689"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c>
          <w:tcPr>
            <w:tcW w:w="447"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r>
      <w:tr w:rsidR="00171D1D" w:rsidRPr="00592BA7" w:rsidTr="00592BA7">
        <w:trPr>
          <w:trHeight w:val="20"/>
          <w:jc w:val="center"/>
        </w:trPr>
        <w:tc>
          <w:tcPr>
            <w:tcW w:w="313"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6.2.3</w:t>
            </w:r>
          </w:p>
        </w:tc>
        <w:tc>
          <w:tcPr>
            <w:tcW w:w="2522"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прочие потребители</w:t>
            </w:r>
          </w:p>
        </w:tc>
        <w:tc>
          <w:tcPr>
            <w:tcW w:w="564"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тыс. м3</w:t>
            </w:r>
          </w:p>
        </w:tc>
        <w:tc>
          <w:tcPr>
            <w:tcW w:w="463"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689"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c>
          <w:tcPr>
            <w:tcW w:w="447"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r>
      <w:tr w:rsidR="00171D1D" w:rsidRPr="00592BA7" w:rsidTr="00592BA7">
        <w:trPr>
          <w:trHeight w:val="20"/>
          <w:jc w:val="center"/>
        </w:trPr>
        <w:tc>
          <w:tcPr>
            <w:tcW w:w="313"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7</w:t>
            </w:r>
          </w:p>
        </w:tc>
        <w:tc>
          <w:tcPr>
            <w:tcW w:w="2522"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Отпуск воды потребителям технического качества</w:t>
            </w:r>
          </w:p>
        </w:tc>
        <w:tc>
          <w:tcPr>
            <w:tcW w:w="564"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тыс. м3</w:t>
            </w:r>
          </w:p>
        </w:tc>
        <w:tc>
          <w:tcPr>
            <w:tcW w:w="463"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c>
          <w:tcPr>
            <w:tcW w:w="689"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c>
          <w:tcPr>
            <w:tcW w:w="447"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r>
    </w:tbl>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Собственные нужды</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Потребление холодной воды на собственные нужды не осуществляется.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Проблемы и направления их решения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В настоящее время основными проблемами в водоснабжении муниципального образования являются: </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w:t>
      </w:r>
      <w:r w:rsidRPr="00592BA7">
        <w:rPr>
          <w:rFonts w:ascii="Times New Roman" w:hAnsi="Times New Roman" w:cs="Times New Roman"/>
          <w:sz w:val="20"/>
          <w:szCs w:val="20"/>
        </w:rPr>
        <w:tab/>
        <w:t>преждевременный износ насосного оборудования ВЗУ, как следствие неудовлетворительное качество воды;</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r w:rsidRPr="00592BA7">
        <w:rPr>
          <w:rFonts w:ascii="Times New Roman" w:hAnsi="Times New Roman" w:cs="Times New Roman"/>
          <w:sz w:val="20"/>
          <w:szCs w:val="20"/>
        </w:rPr>
        <w:tab/>
        <w:t xml:space="preserve">высокий моральный и физический процент износа трубопроводов и запорной арматуры; </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r w:rsidRPr="00592BA7">
        <w:rPr>
          <w:rFonts w:ascii="Times New Roman" w:hAnsi="Times New Roman" w:cs="Times New Roman"/>
          <w:sz w:val="20"/>
          <w:szCs w:val="20"/>
        </w:rPr>
        <w:tab/>
        <w:t xml:space="preserve">несоответствие существующего приборного учета современным требованиям; </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r w:rsidRPr="00592BA7">
        <w:rPr>
          <w:rFonts w:ascii="Times New Roman" w:hAnsi="Times New Roman" w:cs="Times New Roman"/>
          <w:sz w:val="20"/>
          <w:szCs w:val="20"/>
        </w:rPr>
        <w:tab/>
        <w:t>высокие энергозатраты по доставке воды потребителям;</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r w:rsidRPr="00592BA7">
        <w:rPr>
          <w:rFonts w:ascii="Times New Roman" w:hAnsi="Times New Roman" w:cs="Times New Roman"/>
          <w:sz w:val="20"/>
          <w:szCs w:val="20"/>
        </w:rPr>
        <w:tab/>
        <w:t>охват централизованным водоснабжением не всех потребителей;</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r w:rsidRPr="00592BA7">
        <w:rPr>
          <w:rFonts w:ascii="Times New Roman" w:hAnsi="Times New Roman" w:cs="Times New Roman"/>
          <w:sz w:val="20"/>
          <w:szCs w:val="20"/>
        </w:rPr>
        <w:tab/>
        <w:t>отсутствие современных систем диспетчеризации и телемеханизации, автоматизированных систем управления режимами водоснабжения на объектах, осуществляющих водоснабжение;</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r w:rsidRPr="00592BA7">
        <w:rPr>
          <w:rFonts w:ascii="Times New Roman" w:hAnsi="Times New Roman" w:cs="Times New Roman"/>
          <w:sz w:val="20"/>
          <w:szCs w:val="20"/>
        </w:rPr>
        <w:tab/>
        <w:t>физический износ водовода «Станция 2 подъема в д. Шумерля – г. Шумерля» (1964 г. постройки), откуда запитаны для водоснабжения все улицы южной части д. Шумерля. Водовод находится в оперативном управлении МУП «Чистая вода», пересекает зону жилой застройки д. Шумерля с северо-запада в юго-восточном направлении и земельные участки в частной собственности, местами проходит рядом с жилыми домами и постройками граждан. По причине физического износа на водоводе часты случаи аварии, устранение которых сдерживается стесненными условиями для производства землеройных работ и наличием других инженерных коммуникаций.</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На ближайшую перспективу необходимо предусмотреть реконструкцию существующего водовода и разводящих сетей, при необходимости постройка водопроводных очистных сооружений. Обеспечение работоспособности и отказоустойчивости существующих сетей, на сегодняшний день, является перспективным. Постепенный вывод водозаборных сооружений за территорию населенных пунктов, проведение оценочных и разведочных работ на действующих водозаборах.</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3.4.2.2. Анализ эффективности и надежности имеющихся сетей, имеющиеся проблемы и направления их решения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Линейные объекты водоснабжения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Вода от артезианских скважин и поверхностного водозабора д. Шумерля по трубопроводам поступает в накопительный бак (водобашня), далее потребителям с определенно заданным давлением. </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Сети холодного водоснабжения поселка выполнены в однотрубном исполнении. Способ прокладки – подземный. Характеристика существующих водопроводных сетей приведена в таблице 3.4.2.2.1.</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br w:type="page"/>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Таблица 3.4.2.2.1</w:t>
      </w:r>
    </w:p>
    <w:tbl>
      <w:tblPr>
        <w:tblW w:w="9635" w:type="dxa"/>
        <w:tblLook w:val="04A0" w:firstRow="1" w:lastRow="0" w:firstColumn="1" w:lastColumn="0" w:noHBand="0" w:noVBand="1"/>
      </w:tblPr>
      <w:tblGrid>
        <w:gridCol w:w="2547"/>
        <w:gridCol w:w="1599"/>
        <w:gridCol w:w="1378"/>
        <w:gridCol w:w="1358"/>
        <w:gridCol w:w="1424"/>
        <w:gridCol w:w="1329"/>
      </w:tblGrid>
      <w:tr w:rsidR="00171D1D" w:rsidRPr="00592BA7" w:rsidTr="00592BA7">
        <w:tc>
          <w:tcPr>
            <w:tcW w:w="2547"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Наименование населенного пункта</w:t>
            </w:r>
          </w:p>
        </w:tc>
        <w:tc>
          <w:tcPr>
            <w:tcW w:w="1599"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Протяженность, км</w:t>
            </w:r>
          </w:p>
        </w:tc>
        <w:tc>
          <w:tcPr>
            <w:tcW w:w="1378"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Диаметр, мм</w:t>
            </w:r>
          </w:p>
        </w:tc>
        <w:tc>
          <w:tcPr>
            <w:tcW w:w="1358"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Материал </w:t>
            </w:r>
          </w:p>
        </w:tc>
        <w:tc>
          <w:tcPr>
            <w:tcW w:w="1424"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Год ввода в эксплуатацию</w:t>
            </w:r>
          </w:p>
        </w:tc>
        <w:tc>
          <w:tcPr>
            <w:tcW w:w="1329"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Износ, %</w:t>
            </w:r>
          </w:p>
        </w:tc>
      </w:tr>
      <w:tr w:rsidR="00171D1D" w:rsidRPr="00592BA7" w:rsidTr="00592BA7">
        <w:tc>
          <w:tcPr>
            <w:tcW w:w="2547"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 Кабаново</w:t>
            </w:r>
          </w:p>
        </w:tc>
        <w:tc>
          <w:tcPr>
            <w:tcW w:w="1599"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3,944</w:t>
            </w:r>
          </w:p>
        </w:tc>
        <w:tc>
          <w:tcPr>
            <w:tcW w:w="1378"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63-110</w:t>
            </w:r>
          </w:p>
        </w:tc>
        <w:tc>
          <w:tcPr>
            <w:tcW w:w="1358"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ПЭ</w:t>
            </w:r>
          </w:p>
        </w:tc>
        <w:tc>
          <w:tcPr>
            <w:tcW w:w="1424"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2006</w:t>
            </w:r>
          </w:p>
        </w:tc>
        <w:tc>
          <w:tcPr>
            <w:tcW w:w="1329"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70</w:t>
            </w:r>
          </w:p>
        </w:tc>
      </w:tr>
      <w:tr w:rsidR="00171D1D" w:rsidRPr="00592BA7" w:rsidTr="00592BA7">
        <w:tc>
          <w:tcPr>
            <w:tcW w:w="2547"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 Бол. Алгаши</w:t>
            </w:r>
          </w:p>
        </w:tc>
        <w:tc>
          <w:tcPr>
            <w:tcW w:w="1599"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0,88</w:t>
            </w:r>
          </w:p>
        </w:tc>
        <w:tc>
          <w:tcPr>
            <w:tcW w:w="1378"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63-110</w:t>
            </w:r>
          </w:p>
        </w:tc>
        <w:tc>
          <w:tcPr>
            <w:tcW w:w="1358"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ПЭ</w:t>
            </w:r>
          </w:p>
        </w:tc>
        <w:tc>
          <w:tcPr>
            <w:tcW w:w="1424"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1985</w:t>
            </w:r>
          </w:p>
        </w:tc>
        <w:tc>
          <w:tcPr>
            <w:tcW w:w="1329"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55</w:t>
            </w:r>
          </w:p>
        </w:tc>
      </w:tr>
      <w:tr w:rsidR="00171D1D" w:rsidRPr="00592BA7" w:rsidTr="00592BA7">
        <w:tc>
          <w:tcPr>
            <w:tcW w:w="2547"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 Русс. Алгаши</w:t>
            </w:r>
          </w:p>
        </w:tc>
        <w:tc>
          <w:tcPr>
            <w:tcW w:w="1599"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1,55</w:t>
            </w:r>
          </w:p>
        </w:tc>
        <w:tc>
          <w:tcPr>
            <w:tcW w:w="1378"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63-110</w:t>
            </w:r>
          </w:p>
        </w:tc>
        <w:tc>
          <w:tcPr>
            <w:tcW w:w="1358"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ПЭ</w:t>
            </w:r>
          </w:p>
        </w:tc>
        <w:tc>
          <w:tcPr>
            <w:tcW w:w="1424"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1976</w:t>
            </w:r>
          </w:p>
        </w:tc>
        <w:tc>
          <w:tcPr>
            <w:tcW w:w="1329" w:type="dxa"/>
            <w:vAlign w:val="center"/>
          </w:tcPr>
          <w:p w:rsidR="00171D1D" w:rsidRPr="00592BA7" w:rsidRDefault="00171D1D" w:rsidP="00592BA7">
            <w:pPr>
              <w:jc w:val="both"/>
              <w:rPr>
                <w:rFonts w:ascii="Times New Roman" w:hAnsi="Times New Roman" w:cs="Times New Roman"/>
                <w:sz w:val="20"/>
                <w:szCs w:val="20"/>
                <w:lang w:val="en-US"/>
              </w:rPr>
            </w:pPr>
            <w:r w:rsidRPr="00592BA7">
              <w:rPr>
                <w:rFonts w:ascii="Times New Roman" w:hAnsi="Times New Roman" w:cs="Times New Roman"/>
                <w:sz w:val="20"/>
                <w:szCs w:val="20"/>
                <w:lang w:val="en-US"/>
              </w:rPr>
              <w:t>&gt; 70</w:t>
            </w:r>
          </w:p>
        </w:tc>
      </w:tr>
      <w:tr w:rsidR="00171D1D" w:rsidRPr="00592BA7" w:rsidTr="00592BA7">
        <w:tc>
          <w:tcPr>
            <w:tcW w:w="2547" w:type="dxa"/>
            <w:vAlign w:val="center"/>
          </w:tcPr>
          <w:p w:rsidR="00171D1D" w:rsidRPr="00592BA7" w:rsidRDefault="00171D1D" w:rsidP="00592BA7">
            <w:pPr>
              <w:jc w:val="both"/>
              <w:rPr>
                <w:rFonts w:ascii="Times New Roman" w:hAnsi="Times New Roman" w:cs="Times New Roman"/>
                <w:sz w:val="20"/>
                <w:szCs w:val="20"/>
              </w:rPr>
            </w:pPr>
          </w:p>
        </w:tc>
        <w:tc>
          <w:tcPr>
            <w:tcW w:w="1599"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2,011</w:t>
            </w:r>
          </w:p>
        </w:tc>
        <w:tc>
          <w:tcPr>
            <w:tcW w:w="1378"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63-110</w:t>
            </w:r>
          </w:p>
        </w:tc>
        <w:tc>
          <w:tcPr>
            <w:tcW w:w="1358"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ПЭ</w:t>
            </w:r>
          </w:p>
        </w:tc>
        <w:tc>
          <w:tcPr>
            <w:tcW w:w="1424"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1990</w:t>
            </w:r>
          </w:p>
        </w:tc>
        <w:tc>
          <w:tcPr>
            <w:tcW w:w="1329"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lang w:val="en-US"/>
              </w:rPr>
              <w:t>&gt; 70</w:t>
            </w:r>
          </w:p>
        </w:tc>
      </w:tr>
      <w:tr w:rsidR="00171D1D" w:rsidRPr="00592BA7" w:rsidTr="00592BA7">
        <w:tc>
          <w:tcPr>
            <w:tcW w:w="2547"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д. Чуваш. Алгаши</w:t>
            </w:r>
          </w:p>
        </w:tc>
        <w:tc>
          <w:tcPr>
            <w:tcW w:w="1599"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1,176</w:t>
            </w:r>
          </w:p>
        </w:tc>
        <w:tc>
          <w:tcPr>
            <w:tcW w:w="1378"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63-110</w:t>
            </w:r>
          </w:p>
        </w:tc>
        <w:tc>
          <w:tcPr>
            <w:tcW w:w="1358"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ПЭ</w:t>
            </w:r>
          </w:p>
        </w:tc>
        <w:tc>
          <w:tcPr>
            <w:tcW w:w="1424"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1980</w:t>
            </w:r>
          </w:p>
        </w:tc>
        <w:tc>
          <w:tcPr>
            <w:tcW w:w="1329"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lang w:val="en-US"/>
              </w:rPr>
              <w:t>&gt; 70</w:t>
            </w:r>
          </w:p>
        </w:tc>
      </w:tr>
      <w:tr w:rsidR="00171D1D" w:rsidRPr="00592BA7" w:rsidTr="00592BA7">
        <w:tc>
          <w:tcPr>
            <w:tcW w:w="2547"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д. Русс.  Алгаши</w:t>
            </w:r>
          </w:p>
        </w:tc>
        <w:tc>
          <w:tcPr>
            <w:tcW w:w="1599"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0,2</w:t>
            </w:r>
          </w:p>
        </w:tc>
        <w:tc>
          <w:tcPr>
            <w:tcW w:w="1378"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63-110</w:t>
            </w:r>
          </w:p>
        </w:tc>
        <w:tc>
          <w:tcPr>
            <w:tcW w:w="1358"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ПЭ</w:t>
            </w:r>
          </w:p>
        </w:tc>
        <w:tc>
          <w:tcPr>
            <w:tcW w:w="1424"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2021</w:t>
            </w:r>
          </w:p>
        </w:tc>
        <w:tc>
          <w:tcPr>
            <w:tcW w:w="1329"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r>
      <w:tr w:rsidR="00171D1D" w:rsidRPr="00592BA7" w:rsidTr="00592BA7">
        <w:tc>
          <w:tcPr>
            <w:tcW w:w="2547"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 Мыслец</w:t>
            </w:r>
          </w:p>
        </w:tc>
        <w:tc>
          <w:tcPr>
            <w:tcW w:w="1599"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7,86</w:t>
            </w:r>
          </w:p>
        </w:tc>
        <w:tc>
          <w:tcPr>
            <w:tcW w:w="1378"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50-110</w:t>
            </w:r>
          </w:p>
        </w:tc>
        <w:tc>
          <w:tcPr>
            <w:tcW w:w="1358"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ПЭ</w:t>
            </w:r>
          </w:p>
        </w:tc>
        <w:tc>
          <w:tcPr>
            <w:tcW w:w="1424"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        2014</w:t>
            </w:r>
          </w:p>
        </w:tc>
        <w:tc>
          <w:tcPr>
            <w:tcW w:w="1329"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35</w:t>
            </w:r>
          </w:p>
        </w:tc>
      </w:tr>
      <w:tr w:rsidR="00171D1D" w:rsidRPr="00592BA7" w:rsidTr="00592BA7">
        <w:tc>
          <w:tcPr>
            <w:tcW w:w="2547"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д. Ниж. Кумашка</w:t>
            </w:r>
          </w:p>
        </w:tc>
        <w:tc>
          <w:tcPr>
            <w:tcW w:w="1599"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0,843</w:t>
            </w:r>
          </w:p>
        </w:tc>
        <w:tc>
          <w:tcPr>
            <w:tcW w:w="1378"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63-110</w:t>
            </w:r>
          </w:p>
        </w:tc>
        <w:tc>
          <w:tcPr>
            <w:tcW w:w="1358"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ПЭ</w:t>
            </w:r>
          </w:p>
        </w:tc>
        <w:tc>
          <w:tcPr>
            <w:tcW w:w="1424"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1984</w:t>
            </w:r>
          </w:p>
        </w:tc>
        <w:tc>
          <w:tcPr>
            <w:tcW w:w="1329"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lang w:val="en-US"/>
              </w:rPr>
              <w:t>&gt; 70</w:t>
            </w:r>
          </w:p>
        </w:tc>
      </w:tr>
      <w:tr w:rsidR="00171D1D" w:rsidRPr="00592BA7" w:rsidTr="00592BA7">
        <w:tc>
          <w:tcPr>
            <w:tcW w:w="2547" w:type="dxa"/>
            <w:vAlign w:val="center"/>
          </w:tcPr>
          <w:p w:rsidR="00171D1D" w:rsidRPr="00592BA7" w:rsidRDefault="00171D1D" w:rsidP="00592BA7">
            <w:pPr>
              <w:jc w:val="both"/>
              <w:rPr>
                <w:rFonts w:ascii="Times New Roman" w:hAnsi="Times New Roman" w:cs="Times New Roman"/>
                <w:sz w:val="20"/>
                <w:szCs w:val="20"/>
              </w:rPr>
            </w:pPr>
          </w:p>
        </w:tc>
        <w:tc>
          <w:tcPr>
            <w:tcW w:w="1599"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10,299</w:t>
            </w:r>
          </w:p>
        </w:tc>
        <w:tc>
          <w:tcPr>
            <w:tcW w:w="1378"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358"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424"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2021</w:t>
            </w:r>
          </w:p>
        </w:tc>
        <w:tc>
          <w:tcPr>
            <w:tcW w:w="1329"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r>
      <w:tr w:rsidR="00171D1D" w:rsidRPr="00592BA7" w:rsidTr="00592BA7">
        <w:tc>
          <w:tcPr>
            <w:tcW w:w="2547"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д. Петропавловск</w:t>
            </w:r>
          </w:p>
        </w:tc>
        <w:tc>
          <w:tcPr>
            <w:tcW w:w="1599"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1,468</w:t>
            </w:r>
          </w:p>
        </w:tc>
        <w:tc>
          <w:tcPr>
            <w:tcW w:w="1378"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63-110</w:t>
            </w:r>
          </w:p>
        </w:tc>
        <w:tc>
          <w:tcPr>
            <w:tcW w:w="1358"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ПЭ</w:t>
            </w:r>
          </w:p>
        </w:tc>
        <w:tc>
          <w:tcPr>
            <w:tcW w:w="1424"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2006</w:t>
            </w:r>
          </w:p>
        </w:tc>
        <w:tc>
          <w:tcPr>
            <w:tcW w:w="1329"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45</w:t>
            </w:r>
          </w:p>
        </w:tc>
      </w:tr>
      <w:tr w:rsidR="00171D1D" w:rsidRPr="00592BA7" w:rsidTr="00592BA7">
        <w:tc>
          <w:tcPr>
            <w:tcW w:w="2547"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д.Торханы</w:t>
            </w:r>
          </w:p>
        </w:tc>
        <w:tc>
          <w:tcPr>
            <w:tcW w:w="1599"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1,336</w:t>
            </w:r>
          </w:p>
        </w:tc>
        <w:tc>
          <w:tcPr>
            <w:tcW w:w="1378"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63-110</w:t>
            </w:r>
          </w:p>
        </w:tc>
        <w:tc>
          <w:tcPr>
            <w:tcW w:w="1358"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ПЭ</w:t>
            </w:r>
          </w:p>
        </w:tc>
        <w:tc>
          <w:tcPr>
            <w:tcW w:w="1424"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2006</w:t>
            </w:r>
          </w:p>
        </w:tc>
        <w:tc>
          <w:tcPr>
            <w:tcW w:w="1329"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30</w:t>
            </w:r>
          </w:p>
        </w:tc>
      </w:tr>
      <w:tr w:rsidR="00171D1D" w:rsidRPr="00592BA7" w:rsidTr="00592BA7">
        <w:tc>
          <w:tcPr>
            <w:tcW w:w="2547"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д. Чертаганы</w:t>
            </w:r>
          </w:p>
        </w:tc>
        <w:tc>
          <w:tcPr>
            <w:tcW w:w="1599"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3,412</w:t>
            </w:r>
          </w:p>
        </w:tc>
        <w:tc>
          <w:tcPr>
            <w:tcW w:w="1378"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63-110</w:t>
            </w:r>
          </w:p>
        </w:tc>
        <w:tc>
          <w:tcPr>
            <w:tcW w:w="1358"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ПЭ</w:t>
            </w:r>
          </w:p>
        </w:tc>
        <w:tc>
          <w:tcPr>
            <w:tcW w:w="1424"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2006</w:t>
            </w:r>
          </w:p>
        </w:tc>
        <w:tc>
          <w:tcPr>
            <w:tcW w:w="1329"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30</w:t>
            </w:r>
          </w:p>
        </w:tc>
      </w:tr>
      <w:tr w:rsidR="00171D1D" w:rsidRPr="00592BA7" w:rsidTr="00592BA7">
        <w:tc>
          <w:tcPr>
            <w:tcW w:w="2547"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Д.Торханы</w:t>
            </w:r>
          </w:p>
        </w:tc>
        <w:tc>
          <w:tcPr>
            <w:tcW w:w="1599"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2,171</w:t>
            </w:r>
          </w:p>
        </w:tc>
        <w:tc>
          <w:tcPr>
            <w:tcW w:w="1378"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63-110</w:t>
            </w:r>
          </w:p>
        </w:tc>
        <w:tc>
          <w:tcPr>
            <w:tcW w:w="1358"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ПЭ</w:t>
            </w:r>
          </w:p>
        </w:tc>
        <w:tc>
          <w:tcPr>
            <w:tcW w:w="1424"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1990</w:t>
            </w:r>
          </w:p>
        </w:tc>
        <w:tc>
          <w:tcPr>
            <w:tcW w:w="1329"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50</w:t>
            </w:r>
          </w:p>
        </w:tc>
      </w:tr>
      <w:tr w:rsidR="00171D1D" w:rsidRPr="00592BA7" w:rsidTr="00592BA7">
        <w:tc>
          <w:tcPr>
            <w:tcW w:w="2547"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Д.Торханы</w:t>
            </w:r>
          </w:p>
        </w:tc>
        <w:tc>
          <w:tcPr>
            <w:tcW w:w="1599"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0,6</w:t>
            </w:r>
          </w:p>
        </w:tc>
        <w:tc>
          <w:tcPr>
            <w:tcW w:w="1378"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63</w:t>
            </w:r>
          </w:p>
        </w:tc>
        <w:tc>
          <w:tcPr>
            <w:tcW w:w="1358"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ПЭ</w:t>
            </w:r>
          </w:p>
        </w:tc>
        <w:tc>
          <w:tcPr>
            <w:tcW w:w="1424"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2007</w:t>
            </w:r>
          </w:p>
        </w:tc>
        <w:tc>
          <w:tcPr>
            <w:tcW w:w="1329"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35</w:t>
            </w:r>
          </w:p>
        </w:tc>
      </w:tr>
      <w:tr w:rsidR="00171D1D" w:rsidRPr="00592BA7" w:rsidTr="00592BA7">
        <w:tc>
          <w:tcPr>
            <w:tcW w:w="2547"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Д.Торханы</w:t>
            </w:r>
          </w:p>
        </w:tc>
        <w:tc>
          <w:tcPr>
            <w:tcW w:w="1599"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4,38</w:t>
            </w:r>
          </w:p>
        </w:tc>
        <w:tc>
          <w:tcPr>
            <w:tcW w:w="1378"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63-110</w:t>
            </w:r>
          </w:p>
        </w:tc>
        <w:tc>
          <w:tcPr>
            <w:tcW w:w="1358"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ПЭ</w:t>
            </w:r>
          </w:p>
        </w:tc>
        <w:tc>
          <w:tcPr>
            <w:tcW w:w="1424"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2006</w:t>
            </w:r>
          </w:p>
        </w:tc>
        <w:tc>
          <w:tcPr>
            <w:tcW w:w="1329"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30</w:t>
            </w:r>
          </w:p>
        </w:tc>
      </w:tr>
      <w:tr w:rsidR="00171D1D" w:rsidRPr="00592BA7" w:rsidTr="00592BA7">
        <w:tc>
          <w:tcPr>
            <w:tcW w:w="2547" w:type="dxa"/>
            <w:vAlign w:val="center"/>
          </w:tcPr>
          <w:p w:rsidR="00171D1D" w:rsidRPr="00592BA7" w:rsidRDefault="00171D1D" w:rsidP="00592BA7">
            <w:pPr>
              <w:jc w:val="both"/>
              <w:rPr>
                <w:rFonts w:ascii="Times New Roman" w:hAnsi="Times New Roman" w:cs="Times New Roman"/>
                <w:sz w:val="20"/>
                <w:szCs w:val="20"/>
              </w:rPr>
            </w:pPr>
          </w:p>
        </w:tc>
        <w:tc>
          <w:tcPr>
            <w:tcW w:w="1599"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0,25</w:t>
            </w:r>
          </w:p>
        </w:tc>
        <w:tc>
          <w:tcPr>
            <w:tcW w:w="1378"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358"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424"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2020</w:t>
            </w:r>
          </w:p>
        </w:tc>
        <w:tc>
          <w:tcPr>
            <w:tcW w:w="1329"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5</w:t>
            </w:r>
          </w:p>
        </w:tc>
      </w:tr>
      <w:tr w:rsidR="00171D1D" w:rsidRPr="00592BA7" w:rsidTr="00592BA7">
        <w:tc>
          <w:tcPr>
            <w:tcW w:w="2547"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д. Мал. Туваны</w:t>
            </w:r>
          </w:p>
        </w:tc>
        <w:tc>
          <w:tcPr>
            <w:tcW w:w="1599"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4,828</w:t>
            </w:r>
          </w:p>
        </w:tc>
        <w:tc>
          <w:tcPr>
            <w:tcW w:w="1378"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63-110</w:t>
            </w:r>
          </w:p>
        </w:tc>
        <w:tc>
          <w:tcPr>
            <w:tcW w:w="1358"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ПЭ</w:t>
            </w:r>
          </w:p>
        </w:tc>
        <w:tc>
          <w:tcPr>
            <w:tcW w:w="1424"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2009</w:t>
            </w:r>
          </w:p>
        </w:tc>
        <w:tc>
          <w:tcPr>
            <w:tcW w:w="1329"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35</w:t>
            </w:r>
          </w:p>
        </w:tc>
      </w:tr>
      <w:tr w:rsidR="00171D1D" w:rsidRPr="00592BA7" w:rsidTr="00592BA7">
        <w:tc>
          <w:tcPr>
            <w:tcW w:w="2547"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 Туваны</w:t>
            </w:r>
          </w:p>
        </w:tc>
        <w:tc>
          <w:tcPr>
            <w:tcW w:w="1599"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2,923</w:t>
            </w:r>
          </w:p>
        </w:tc>
        <w:tc>
          <w:tcPr>
            <w:tcW w:w="1378"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358"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424"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1982/2020</w:t>
            </w:r>
          </w:p>
        </w:tc>
        <w:tc>
          <w:tcPr>
            <w:tcW w:w="1329"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r>
      <w:tr w:rsidR="00171D1D" w:rsidRPr="00592BA7" w:rsidTr="00592BA7">
        <w:tc>
          <w:tcPr>
            <w:tcW w:w="2547"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 Ходары</w:t>
            </w:r>
          </w:p>
        </w:tc>
        <w:tc>
          <w:tcPr>
            <w:tcW w:w="1599"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5,143</w:t>
            </w:r>
          </w:p>
        </w:tc>
        <w:tc>
          <w:tcPr>
            <w:tcW w:w="1378"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63-110</w:t>
            </w:r>
          </w:p>
        </w:tc>
        <w:tc>
          <w:tcPr>
            <w:tcW w:w="1358"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ПЭ</w:t>
            </w:r>
          </w:p>
        </w:tc>
        <w:tc>
          <w:tcPr>
            <w:tcW w:w="1424"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2008</w:t>
            </w:r>
          </w:p>
        </w:tc>
        <w:tc>
          <w:tcPr>
            <w:tcW w:w="1329"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35</w:t>
            </w:r>
          </w:p>
        </w:tc>
      </w:tr>
      <w:tr w:rsidR="00171D1D" w:rsidRPr="00592BA7" w:rsidTr="00592BA7">
        <w:tc>
          <w:tcPr>
            <w:tcW w:w="2547" w:type="dxa"/>
            <w:vAlign w:val="center"/>
          </w:tcPr>
          <w:p w:rsidR="00171D1D" w:rsidRPr="00592BA7" w:rsidRDefault="00171D1D" w:rsidP="00592BA7">
            <w:pPr>
              <w:jc w:val="both"/>
              <w:rPr>
                <w:rFonts w:ascii="Times New Roman" w:hAnsi="Times New Roman" w:cs="Times New Roman"/>
                <w:sz w:val="20"/>
                <w:szCs w:val="20"/>
              </w:rPr>
            </w:pPr>
          </w:p>
        </w:tc>
        <w:tc>
          <w:tcPr>
            <w:tcW w:w="1599"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1,125</w:t>
            </w:r>
          </w:p>
        </w:tc>
        <w:tc>
          <w:tcPr>
            <w:tcW w:w="1378"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358"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424"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1975</w:t>
            </w:r>
          </w:p>
        </w:tc>
        <w:tc>
          <w:tcPr>
            <w:tcW w:w="1329"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lang w:val="en-US"/>
              </w:rPr>
              <w:t>&gt; 70</w:t>
            </w:r>
          </w:p>
        </w:tc>
      </w:tr>
      <w:tr w:rsidR="00171D1D" w:rsidRPr="00592BA7" w:rsidTr="00592BA7">
        <w:tc>
          <w:tcPr>
            <w:tcW w:w="2547"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д. Егоркино</w:t>
            </w:r>
          </w:p>
        </w:tc>
        <w:tc>
          <w:tcPr>
            <w:tcW w:w="1599"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2,878</w:t>
            </w:r>
          </w:p>
        </w:tc>
        <w:tc>
          <w:tcPr>
            <w:tcW w:w="1378"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358"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424"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1985</w:t>
            </w:r>
          </w:p>
        </w:tc>
        <w:tc>
          <w:tcPr>
            <w:tcW w:w="1329"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80</w:t>
            </w:r>
          </w:p>
        </w:tc>
      </w:tr>
      <w:tr w:rsidR="00171D1D" w:rsidRPr="00592BA7" w:rsidTr="00592BA7">
        <w:tc>
          <w:tcPr>
            <w:tcW w:w="2547" w:type="dxa"/>
            <w:vAlign w:val="center"/>
          </w:tcPr>
          <w:p w:rsidR="00171D1D" w:rsidRPr="00592BA7" w:rsidRDefault="00171D1D" w:rsidP="00592BA7">
            <w:pPr>
              <w:jc w:val="both"/>
              <w:rPr>
                <w:rFonts w:ascii="Times New Roman" w:hAnsi="Times New Roman" w:cs="Times New Roman"/>
                <w:sz w:val="20"/>
                <w:szCs w:val="20"/>
              </w:rPr>
            </w:pPr>
          </w:p>
        </w:tc>
        <w:tc>
          <w:tcPr>
            <w:tcW w:w="1599"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1,1</w:t>
            </w:r>
          </w:p>
        </w:tc>
        <w:tc>
          <w:tcPr>
            <w:tcW w:w="1378"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358"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424"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2011</w:t>
            </w:r>
          </w:p>
        </w:tc>
        <w:tc>
          <w:tcPr>
            <w:tcW w:w="1329"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30</w:t>
            </w:r>
          </w:p>
        </w:tc>
      </w:tr>
      <w:tr w:rsidR="00171D1D" w:rsidRPr="00592BA7" w:rsidTr="00592BA7">
        <w:tc>
          <w:tcPr>
            <w:tcW w:w="2547"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 Юманай</w:t>
            </w:r>
          </w:p>
        </w:tc>
        <w:tc>
          <w:tcPr>
            <w:tcW w:w="1599"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0,836</w:t>
            </w:r>
          </w:p>
        </w:tc>
        <w:tc>
          <w:tcPr>
            <w:tcW w:w="1378"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63-110</w:t>
            </w:r>
          </w:p>
        </w:tc>
        <w:tc>
          <w:tcPr>
            <w:tcW w:w="1358"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ПЭ</w:t>
            </w:r>
          </w:p>
        </w:tc>
        <w:tc>
          <w:tcPr>
            <w:tcW w:w="1424"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1976</w:t>
            </w:r>
          </w:p>
        </w:tc>
        <w:tc>
          <w:tcPr>
            <w:tcW w:w="1329"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lang w:val="en-US"/>
              </w:rPr>
              <w:t xml:space="preserve">&gt; </w:t>
            </w:r>
            <w:r w:rsidRPr="00592BA7">
              <w:rPr>
                <w:rFonts w:ascii="Times New Roman" w:hAnsi="Times New Roman" w:cs="Times New Roman"/>
                <w:sz w:val="20"/>
                <w:szCs w:val="20"/>
              </w:rPr>
              <w:t>8</w:t>
            </w:r>
            <w:r w:rsidRPr="00592BA7">
              <w:rPr>
                <w:rFonts w:ascii="Times New Roman" w:hAnsi="Times New Roman" w:cs="Times New Roman"/>
                <w:sz w:val="20"/>
                <w:szCs w:val="20"/>
                <w:lang w:val="en-US"/>
              </w:rPr>
              <w:t>0</w:t>
            </w:r>
          </w:p>
        </w:tc>
      </w:tr>
      <w:tr w:rsidR="00171D1D" w:rsidRPr="00592BA7" w:rsidTr="00592BA7">
        <w:tc>
          <w:tcPr>
            <w:tcW w:w="2547" w:type="dxa"/>
            <w:vAlign w:val="center"/>
          </w:tcPr>
          <w:p w:rsidR="00171D1D" w:rsidRPr="00592BA7" w:rsidRDefault="00171D1D" w:rsidP="00592BA7">
            <w:pPr>
              <w:jc w:val="both"/>
              <w:rPr>
                <w:rFonts w:ascii="Times New Roman" w:hAnsi="Times New Roman" w:cs="Times New Roman"/>
                <w:sz w:val="20"/>
                <w:szCs w:val="20"/>
              </w:rPr>
            </w:pPr>
          </w:p>
        </w:tc>
        <w:tc>
          <w:tcPr>
            <w:tcW w:w="1599"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5,323</w:t>
            </w:r>
          </w:p>
        </w:tc>
        <w:tc>
          <w:tcPr>
            <w:tcW w:w="1378"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63-110</w:t>
            </w:r>
          </w:p>
        </w:tc>
        <w:tc>
          <w:tcPr>
            <w:tcW w:w="1358"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ПЭ</w:t>
            </w:r>
          </w:p>
        </w:tc>
        <w:tc>
          <w:tcPr>
            <w:tcW w:w="1424"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2007</w:t>
            </w:r>
          </w:p>
        </w:tc>
        <w:tc>
          <w:tcPr>
            <w:tcW w:w="1329"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35</w:t>
            </w:r>
          </w:p>
        </w:tc>
      </w:tr>
      <w:tr w:rsidR="00171D1D" w:rsidRPr="00592BA7" w:rsidTr="00592BA7">
        <w:tc>
          <w:tcPr>
            <w:tcW w:w="2547"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д. Кадеркино</w:t>
            </w:r>
          </w:p>
        </w:tc>
        <w:tc>
          <w:tcPr>
            <w:tcW w:w="1599"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2,1</w:t>
            </w:r>
          </w:p>
        </w:tc>
        <w:tc>
          <w:tcPr>
            <w:tcW w:w="1378"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358"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424"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2010</w:t>
            </w:r>
          </w:p>
        </w:tc>
        <w:tc>
          <w:tcPr>
            <w:tcW w:w="1329"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r>
      <w:tr w:rsidR="00171D1D" w:rsidRPr="00592BA7" w:rsidTr="00592BA7">
        <w:tc>
          <w:tcPr>
            <w:tcW w:w="2547" w:type="dxa"/>
            <w:vAlign w:val="center"/>
          </w:tcPr>
          <w:p w:rsidR="00171D1D" w:rsidRPr="00592BA7" w:rsidRDefault="00171D1D" w:rsidP="00592BA7">
            <w:pPr>
              <w:jc w:val="both"/>
              <w:rPr>
                <w:rFonts w:ascii="Times New Roman" w:hAnsi="Times New Roman" w:cs="Times New Roman"/>
                <w:sz w:val="20"/>
                <w:szCs w:val="20"/>
              </w:rPr>
            </w:pPr>
          </w:p>
        </w:tc>
        <w:tc>
          <w:tcPr>
            <w:tcW w:w="1599"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3,15</w:t>
            </w:r>
          </w:p>
        </w:tc>
        <w:tc>
          <w:tcPr>
            <w:tcW w:w="1378"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358"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424"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2021</w:t>
            </w:r>
          </w:p>
        </w:tc>
        <w:tc>
          <w:tcPr>
            <w:tcW w:w="1329"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r>
      <w:tr w:rsidR="00171D1D" w:rsidRPr="00592BA7" w:rsidTr="00592BA7">
        <w:tc>
          <w:tcPr>
            <w:tcW w:w="2547" w:type="dxa"/>
            <w:vAlign w:val="center"/>
          </w:tcPr>
          <w:p w:rsidR="00171D1D" w:rsidRPr="00592BA7" w:rsidRDefault="00171D1D" w:rsidP="00592BA7">
            <w:pPr>
              <w:jc w:val="both"/>
              <w:rPr>
                <w:rFonts w:ascii="Times New Roman" w:hAnsi="Times New Roman" w:cs="Times New Roman"/>
                <w:sz w:val="20"/>
                <w:szCs w:val="20"/>
              </w:rPr>
            </w:pPr>
          </w:p>
        </w:tc>
        <w:tc>
          <w:tcPr>
            <w:tcW w:w="1599"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2,47</w:t>
            </w:r>
          </w:p>
        </w:tc>
        <w:tc>
          <w:tcPr>
            <w:tcW w:w="1378"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358"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424"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2021</w:t>
            </w:r>
          </w:p>
        </w:tc>
        <w:tc>
          <w:tcPr>
            <w:tcW w:w="1329"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r>
      <w:tr w:rsidR="00171D1D" w:rsidRPr="00592BA7" w:rsidTr="00592BA7">
        <w:tc>
          <w:tcPr>
            <w:tcW w:w="2547"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д. Шумерля</w:t>
            </w:r>
          </w:p>
        </w:tc>
        <w:tc>
          <w:tcPr>
            <w:tcW w:w="1599"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12,77</w:t>
            </w:r>
          </w:p>
        </w:tc>
        <w:tc>
          <w:tcPr>
            <w:tcW w:w="1378"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358"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424"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329"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r>
    </w:tbl>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Резервирование</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Резервирование водопроводных сетей отсутствует.</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Применяемые графики работы и их обоснованность</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Применяемый график работы системы водоснабжения – круглосуточный. Обоснованность подобного графика работы объясняется выполнением требований бесперебойного предоставления холодной воды потребителям.</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Качество эксплуатации</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Прямым показателем качества эксплуатации, наладки и ремонтов выступает обеспечение потребителей водой в требуемом количестве заданного качества.</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Количество часов бесперебойного предоставления услуг в 2023году составило 8760 часов. Случаев подачи воды по графику (менее 24 часов в сутки) за 2023год не отмечено.</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Качество диспетчеризации</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Функционирует диспетчерская служба, осуществляющая круглосуточный оперативно-диспетчерский контроль за соблюдением режимов и управление режимами работы систем водоснабжения в целях обеспечения потребителей водой.</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Отсутствуют единые автоматизированные системы диспетчеризации и автоматизации производственных процессов.</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При проведении мероприятий по уменьшению водопотребления, рекомендуется предусмотреть установку на насосах частотно-регулируемых приводов, внедрение измерительных приборов.</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Проблемы:</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В настоящее время основной проблемой в водоснабжении и водоотведении поселения является износ сетей водоснабжения и насосного оборудования водозаборных узлов. Требуется замена или капитальный ремонт насосного оборудования водозаборных узлов. Требуется замена или капитальный ремонт насосного оборудования водозаборных узлов.</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Требуемые мероприятия: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Проектом предлагается дальнейшее развитие систем централизованного водоснабжения Шумерлинского муниципального округа. Планируемые и все существующие кварталы жилой застройки в данных населенных пунктах предлагается подключить к существующей централизованной системе водоснабжения, для этого необходимо строительство внутриквартальных водопроводных сетей с устройством вводов в дома.</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Существующие сети водопровода в д. Шумерля, п. Кабаново, с. Большие Алгаши, с. Русские Алгаши, д. Чувашские Алгаши, п. Мыслец, с. Нижняя Кумашка, д. Петропавловск, д. Торханы, д. Чертаганы, д. Малые Туваны, с. Туваны, с. Ходары, д. Егоркино, с. Юманаи, д. Кадеркино, находящиеся в неудовлетворительном состоянии, подлежат перекладке с заменой трубы и колодцев на новые из современных материалов.</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В целях экономии питьевой воды проектом предусматривается: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в процессе эксплуатации скважин для определения стабильности качества воды и уровенного режима приступить к ведению мониторинга подземных вод (стационарные режимные наблюдения за дебитом, уровнем, температурой и химическим составом воды). Частота наблюдения должна быть обоснована специальной программой;</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контроль качества производить в соответствии с СанПиН 1.2.3684-21 с обязательным определением содержания железа и органолептических показателей;</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выполнить ограждение I пояса ЗСО для всех артезианских скважин;</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 в пределах I – III поясов ЗСО скважин разработать комплекс водоохранных мероприятий в соответствии с СанПиН 2.1.4.1110-02 и согласовать его с районным ЦГСЭН;</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тампонирование не используемых артезианских скважин специальными тампо-нажными смесями, с последующим восстановлением естественного состояния водовмещающих горизонтов;</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исключение необоснованного потребления воды питьевого качества промпредприятиями на технологические нужды за счет внедрения систем оборотного водоснабжения и повторного использования воды;</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снижение промышленного водопотребления за счет обновления технологических процессов и использования очищенных стоков вод в производстве;</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внедрение систем учета потребления питьевой воды, как для промпредприятий, так и для населения.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Также предусматривается: </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r w:rsidRPr="00592BA7">
        <w:rPr>
          <w:rFonts w:ascii="Times New Roman" w:hAnsi="Times New Roman" w:cs="Times New Roman"/>
          <w:sz w:val="20"/>
          <w:szCs w:val="20"/>
        </w:rPr>
        <w:tab/>
        <w:t xml:space="preserve">в жилом секторе провести установку водомерных устройств; </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r w:rsidRPr="00592BA7">
        <w:rPr>
          <w:rFonts w:ascii="Times New Roman" w:hAnsi="Times New Roman" w:cs="Times New Roman"/>
          <w:sz w:val="20"/>
          <w:szCs w:val="20"/>
        </w:rPr>
        <w:tab/>
        <w:t xml:space="preserve">промывка и дезинфекция водопроводных сетей, водонапорных башен и резервуаров; </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r w:rsidRPr="00592BA7">
        <w:rPr>
          <w:rFonts w:ascii="Times New Roman" w:hAnsi="Times New Roman" w:cs="Times New Roman"/>
          <w:sz w:val="20"/>
          <w:szCs w:val="20"/>
        </w:rPr>
        <w:tab/>
        <w:t xml:space="preserve">обеспечение эксплуатационной надежности и безопасности систем водоснабжения как части коммунальных систем жизнеобеспечения населения; </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r w:rsidRPr="00592BA7">
        <w:rPr>
          <w:rFonts w:ascii="Times New Roman" w:hAnsi="Times New Roman" w:cs="Times New Roman"/>
          <w:sz w:val="20"/>
          <w:szCs w:val="20"/>
        </w:rPr>
        <w:tab/>
        <w:t>обеспечение финансовой и производственно-технологической доступности услуг водоснабжения надлежащего качества для населения и других потребителей;</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r w:rsidRPr="00592BA7">
        <w:rPr>
          <w:rFonts w:ascii="Times New Roman" w:hAnsi="Times New Roman" w:cs="Times New Roman"/>
          <w:sz w:val="20"/>
          <w:szCs w:val="20"/>
        </w:rPr>
        <w:tab/>
        <w:t>обеспечение рационального использования воды питьевого качества, выполнение природоохранных требований;</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r w:rsidRPr="00592BA7">
        <w:rPr>
          <w:rFonts w:ascii="Times New Roman" w:hAnsi="Times New Roman" w:cs="Times New Roman"/>
          <w:sz w:val="20"/>
          <w:szCs w:val="20"/>
        </w:rPr>
        <w:tab/>
        <w:t xml:space="preserve">повышение ресурсной эффективности водоснабжения путем модернизации оборудования и сооружений, внедрения новой технологии и организации производства; </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r w:rsidRPr="00592BA7">
        <w:rPr>
          <w:rFonts w:ascii="Times New Roman" w:hAnsi="Times New Roman" w:cs="Times New Roman"/>
          <w:sz w:val="20"/>
          <w:szCs w:val="20"/>
        </w:rPr>
        <w:tab/>
        <w:t>оптимизация инфраструктуры и повышение эффективности капитальных вложений, создание благоприятного инвестиционного климата;</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r w:rsidRPr="00592BA7">
        <w:rPr>
          <w:rFonts w:ascii="Times New Roman" w:hAnsi="Times New Roman" w:cs="Times New Roman"/>
          <w:sz w:val="20"/>
          <w:szCs w:val="20"/>
        </w:rPr>
        <w:tab/>
        <w:t xml:space="preserve">проведение комплекса мероприятий по уменьшению водопотребления, установка на глубинных насосах частотно-регулируемых приводов, внедрение измерительных приборов, приборов контроля на водопроводных сетях и приборов учета воды в домах; </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r w:rsidRPr="00592BA7">
        <w:rPr>
          <w:rFonts w:ascii="Times New Roman" w:hAnsi="Times New Roman" w:cs="Times New Roman"/>
          <w:sz w:val="20"/>
          <w:szCs w:val="20"/>
        </w:rPr>
        <w:tab/>
        <w:t>внедрение системы телемеханики и автоматизированной системы управления технологическими процессами с реконструкцией КИП и А насосных станций, водозаборных и очистных сооружений.</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В остальных населенных пунктах, где не предусматривается развитие централизованной системы водоснабжения, источниками водоснабжения остаются шахтные децентрализованные колодцы и индивидуальные артезианские скважины. Водоснабжение отдельно расположенных объектов сельскохозяйственного, рекреационного назначения будет производиться от собственных артезианских скважин.</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3.4.2.3. Анализ зон действия источников водоснабжения и их рациональности, имеющиеся проблемы и направления их решения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Фактическое потребление (реализация) воды составило 173,285 тыс. м3/год, среднесуточный расход составил 478,5 м3/сут, в сутки наибольшего водопотребления расход составил (при К=1,2, где К – коэффициент суточной неравномерности) 574,21 м3/сут. </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Структура территориального баланса подачи воды представлена в таблице 3.4.2.3.1 по зонам действия водопроводных сооружений.</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Таблица 3.4.2.3.1</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8"/>
        <w:gridCol w:w="2276"/>
        <w:gridCol w:w="2680"/>
        <w:gridCol w:w="2952"/>
        <w:gridCol w:w="1437"/>
      </w:tblGrid>
      <w:tr w:rsidR="00171D1D" w:rsidRPr="00592BA7" w:rsidTr="00592BA7">
        <w:trPr>
          <w:trHeight w:val="20"/>
          <w:tblHeader/>
          <w:jc w:val="center"/>
        </w:trPr>
        <w:tc>
          <w:tcPr>
            <w:tcW w:w="258" w:type="pct"/>
            <w:shd w:val="clear" w:color="000000" w:fill="FFFFFF"/>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 п/п</w:t>
            </w:r>
          </w:p>
        </w:tc>
        <w:tc>
          <w:tcPr>
            <w:tcW w:w="1155" w:type="pct"/>
            <w:shd w:val="clear" w:color="000000" w:fill="FFFFFF"/>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Наименование</w:t>
            </w:r>
          </w:p>
        </w:tc>
        <w:tc>
          <w:tcPr>
            <w:tcW w:w="1360"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rPr>
              <w:t>В суточного водопотр-я, куб.м/сут</w:t>
            </w:r>
          </w:p>
        </w:tc>
        <w:tc>
          <w:tcPr>
            <w:tcW w:w="1498" w:type="pct"/>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В суточного мак-го </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водопотр-я, куб.м/сут</w:t>
            </w:r>
          </w:p>
        </w:tc>
        <w:tc>
          <w:tcPr>
            <w:tcW w:w="729" w:type="pct"/>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Годовая, тыс.куб.м/год</w:t>
            </w:r>
          </w:p>
        </w:tc>
      </w:tr>
      <w:tr w:rsidR="00171D1D" w:rsidRPr="00592BA7" w:rsidTr="00592BA7">
        <w:trPr>
          <w:trHeight w:val="359"/>
          <w:jc w:val="center"/>
        </w:trPr>
        <w:tc>
          <w:tcPr>
            <w:tcW w:w="258" w:type="pct"/>
            <w:shd w:val="clear" w:color="000000" w:fill="FFFFFF"/>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w:t>
            </w:r>
          </w:p>
        </w:tc>
        <w:tc>
          <w:tcPr>
            <w:tcW w:w="1155" w:type="pct"/>
            <w:shd w:val="clear" w:color="000000" w:fill="FFFFFF"/>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Шумерлинский муниципальный округ</w:t>
            </w:r>
          </w:p>
        </w:tc>
        <w:tc>
          <w:tcPr>
            <w:tcW w:w="1360"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rPr>
              <w:t>478,5</w:t>
            </w:r>
          </w:p>
        </w:tc>
        <w:tc>
          <w:tcPr>
            <w:tcW w:w="1498" w:type="pct"/>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574,21</w:t>
            </w:r>
          </w:p>
        </w:tc>
        <w:tc>
          <w:tcPr>
            <w:tcW w:w="729" w:type="pct"/>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174,656</w:t>
            </w:r>
          </w:p>
        </w:tc>
      </w:tr>
      <w:tr w:rsidR="00171D1D" w:rsidRPr="00592BA7" w:rsidTr="00592BA7">
        <w:trPr>
          <w:trHeight w:val="359"/>
          <w:jc w:val="center"/>
        </w:trPr>
        <w:tc>
          <w:tcPr>
            <w:tcW w:w="258" w:type="pct"/>
            <w:shd w:val="clear" w:color="000000" w:fill="FFFFFF"/>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w:t>
            </w:r>
          </w:p>
        </w:tc>
        <w:tc>
          <w:tcPr>
            <w:tcW w:w="1155" w:type="pct"/>
            <w:shd w:val="clear" w:color="000000" w:fill="FFFFFF"/>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rPr>
              <w:t>п. Кабаново</w:t>
            </w:r>
          </w:p>
        </w:tc>
        <w:tc>
          <w:tcPr>
            <w:tcW w:w="1360"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rPr>
              <w:t>9,9</w:t>
            </w:r>
          </w:p>
        </w:tc>
        <w:tc>
          <w:tcPr>
            <w:tcW w:w="1498" w:type="pct"/>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11,84</w:t>
            </w:r>
          </w:p>
        </w:tc>
        <w:tc>
          <w:tcPr>
            <w:tcW w:w="729" w:type="pct"/>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3,60</w:t>
            </w:r>
          </w:p>
        </w:tc>
      </w:tr>
      <w:tr w:rsidR="00171D1D" w:rsidRPr="00592BA7" w:rsidTr="00592BA7">
        <w:trPr>
          <w:trHeight w:val="359"/>
          <w:jc w:val="center"/>
        </w:trPr>
        <w:tc>
          <w:tcPr>
            <w:tcW w:w="258" w:type="pct"/>
            <w:shd w:val="clear" w:color="000000" w:fill="FFFFFF"/>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w:t>
            </w:r>
          </w:p>
        </w:tc>
        <w:tc>
          <w:tcPr>
            <w:tcW w:w="1155" w:type="pct"/>
            <w:shd w:val="clear" w:color="000000" w:fill="FFFFFF"/>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 Бол. Алгаши</w:t>
            </w:r>
          </w:p>
        </w:tc>
        <w:tc>
          <w:tcPr>
            <w:tcW w:w="1360"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1,3</w:t>
            </w:r>
          </w:p>
        </w:tc>
        <w:tc>
          <w:tcPr>
            <w:tcW w:w="1498" w:type="pct"/>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1,58</w:t>
            </w:r>
          </w:p>
        </w:tc>
        <w:tc>
          <w:tcPr>
            <w:tcW w:w="729" w:type="pct"/>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0,48</w:t>
            </w:r>
          </w:p>
        </w:tc>
      </w:tr>
      <w:tr w:rsidR="00171D1D" w:rsidRPr="00592BA7" w:rsidTr="00592BA7">
        <w:trPr>
          <w:trHeight w:val="359"/>
          <w:jc w:val="center"/>
        </w:trPr>
        <w:tc>
          <w:tcPr>
            <w:tcW w:w="258" w:type="pct"/>
            <w:shd w:val="clear" w:color="000000" w:fill="FFFFFF"/>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w:t>
            </w:r>
          </w:p>
        </w:tc>
        <w:tc>
          <w:tcPr>
            <w:tcW w:w="1155" w:type="pct"/>
            <w:shd w:val="clear" w:color="000000" w:fill="FFFFFF"/>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 Русс. Алгаши</w:t>
            </w:r>
          </w:p>
        </w:tc>
        <w:tc>
          <w:tcPr>
            <w:tcW w:w="1360"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16,4</w:t>
            </w:r>
          </w:p>
        </w:tc>
        <w:tc>
          <w:tcPr>
            <w:tcW w:w="1498" w:type="pct"/>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19,73</w:t>
            </w:r>
          </w:p>
        </w:tc>
        <w:tc>
          <w:tcPr>
            <w:tcW w:w="729" w:type="pct"/>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6,00</w:t>
            </w:r>
          </w:p>
        </w:tc>
      </w:tr>
      <w:tr w:rsidR="00171D1D" w:rsidRPr="00592BA7" w:rsidTr="00592BA7">
        <w:trPr>
          <w:trHeight w:val="359"/>
          <w:jc w:val="center"/>
        </w:trPr>
        <w:tc>
          <w:tcPr>
            <w:tcW w:w="258" w:type="pct"/>
            <w:shd w:val="clear" w:color="000000" w:fill="FFFFFF"/>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4</w:t>
            </w:r>
          </w:p>
        </w:tc>
        <w:tc>
          <w:tcPr>
            <w:tcW w:w="1155" w:type="pct"/>
            <w:shd w:val="clear" w:color="000000" w:fill="FFFFFF"/>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 Русс. Алгаши</w:t>
            </w:r>
          </w:p>
        </w:tc>
        <w:tc>
          <w:tcPr>
            <w:tcW w:w="1360"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4,8</w:t>
            </w:r>
          </w:p>
        </w:tc>
        <w:tc>
          <w:tcPr>
            <w:tcW w:w="1498" w:type="pct"/>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5,76</w:t>
            </w:r>
          </w:p>
        </w:tc>
        <w:tc>
          <w:tcPr>
            <w:tcW w:w="729" w:type="pct"/>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1,75</w:t>
            </w:r>
          </w:p>
        </w:tc>
      </w:tr>
      <w:tr w:rsidR="00171D1D" w:rsidRPr="00592BA7" w:rsidTr="00592BA7">
        <w:trPr>
          <w:trHeight w:val="359"/>
          <w:jc w:val="center"/>
        </w:trPr>
        <w:tc>
          <w:tcPr>
            <w:tcW w:w="258" w:type="pct"/>
            <w:shd w:val="clear" w:color="000000" w:fill="FFFFFF"/>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5</w:t>
            </w:r>
          </w:p>
        </w:tc>
        <w:tc>
          <w:tcPr>
            <w:tcW w:w="1155" w:type="pct"/>
            <w:shd w:val="clear" w:color="000000" w:fill="FFFFFF"/>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д. Чуваш. Алгаши</w:t>
            </w:r>
          </w:p>
        </w:tc>
        <w:tc>
          <w:tcPr>
            <w:tcW w:w="1360"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4,3</w:t>
            </w:r>
          </w:p>
        </w:tc>
        <w:tc>
          <w:tcPr>
            <w:tcW w:w="1498" w:type="pct"/>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5,13</w:t>
            </w:r>
          </w:p>
        </w:tc>
        <w:tc>
          <w:tcPr>
            <w:tcW w:w="729" w:type="pct"/>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1,56</w:t>
            </w:r>
          </w:p>
        </w:tc>
      </w:tr>
      <w:tr w:rsidR="00171D1D" w:rsidRPr="00592BA7" w:rsidTr="00592BA7">
        <w:trPr>
          <w:trHeight w:val="359"/>
          <w:jc w:val="center"/>
        </w:trPr>
        <w:tc>
          <w:tcPr>
            <w:tcW w:w="258" w:type="pct"/>
            <w:shd w:val="clear" w:color="000000" w:fill="FFFFFF"/>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6</w:t>
            </w:r>
          </w:p>
        </w:tc>
        <w:tc>
          <w:tcPr>
            <w:tcW w:w="1155" w:type="pct"/>
            <w:shd w:val="clear" w:color="000000" w:fill="FFFFFF"/>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 Мыслец</w:t>
            </w:r>
          </w:p>
        </w:tc>
        <w:tc>
          <w:tcPr>
            <w:tcW w:w="1360"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90,0</w:t>
            </w:r>
          </w:p>
        </w:tc>
        <w:tc>
          <w:tcPr>
            <w:tcW w:w="1498" w:type="pct"/>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108,00</w:t>
            </w:r>
          </w:p>
        </w:tc>
        <w:tc>
          <w:tcPr>
            <w:tcW w:w="729" w:type="pct"/>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32,85</w:t>
            </w:r>
          </w:p>
        </w:tc>
      </w:tr>
      <w:tr w:rsidR="00171D1D" w:rsidRPr="00592BA7" w:rsidTr="00592BA7">
        <w:trPr>
          <w:trHeight w:val="359"/>
          <w:jc w:val="center"/>
        </w:trPr>
        <w:tc>
          <w:tcPr>
            <w:tcW w:w="258" w:type="pct"/>
            <w:shd w:val="clear" w:color="000000" w:fill="FFFFFF"/>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7</w:t>
            </w:r>
          </w:p>
        </w:tc>
        <w:tc>
          <w:tcPr>
            <w:tcW w:w="1155" w:type="pct"/>
            <w:shd w:val="clear" w:color="000000" w:fill="FFFFFF"/>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 Ниж. Кумашка</w:t>
            </w:r>
          </w:p>
        </w:tc>
        <w:tc>
          <w:tcPr>
            <w:tcW w:w="1360"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100,0</w:t>
            </w:r>
          </w:p>
        </w:tc>
        <w:tc>
          <w:tcPr>
            <w:tcW w:w="1498" w:type="pct"/>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120,00</w:t>
            </w:r>
          </w:p>
        </w:tc>
        <w:tc>
          <w:tcPr>
            <w:tcW w:w="729" w:type="pct"/>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36,50</w:t>
            </w:r>
          </w:p>
        </w:tc>
      </w:tr>
      <w:tr w:rsidR="00171D1D" w:rsidRPr="00592BA7" w:rsidTr="00592BA7">
        <w:trPr>
          <w:trHeight w:val="359"/>
          <w:jc w:val="center"/>
        </w:trPr>
        <w:tc>
          <w:tcPr>
            <w:tcW w:w="258" w:type="pct"/>
            <w:shd w:val="clear" w:color="000000" w:fill="FFFFFF"/>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8</w:t>
            </w:r>
          </w:p>
        </w:tc>
        <w:tc>
          <w:tcPr>
            <w:tcW w:w="1155" w:type="pct"/>
            <w:shd w:val="clear" w:color="000000" w:fill="FFFFFF"/>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д. Ниж. Кумашка</w:t>
            </w:r>
          </w:p>
        </w:tc>
        <w:tc>
          <w:tcPr>
            <w:tcW w:w="1360" w:type="pct"/>
            <w:vAlign w:val="center"/>
          </w:tcPr>
          <w:p w:rsidR="00171D1D" w:rsidRPr="00592BA7" w:rsidRDefault="00171D1D" w:rsidP="00592BA7">
            <w:pPr>
              <w:jc w:val="both"/>
              <w:rPr>
                <w:rFonts w:ascii="Times New Roman" w:hAnsi="Times New Roman" w:cs="Times New Roman"/>
                <w:sz w:val="20"/>
                <w:szCs w:val="20"/>
                <w:lang w:val="en-US"/>
              </w:rPr>
            </w:pPr>
            <w:r w:rsidRPr="00592BA7">
              <w:rPr>
                <w:rFonts w:ascii="Times New Roman" w:hAnsi="Times New Roman" w:cs="Times New Roman"/>
                <w:sz w:val="20"/>
                <w:szCs w:val="20"/>
              </w:rPr>
              <w:t>23,8</w:t>
            </w:r>
          </w:p>
        </w:tc>
        <w:tc>
          <w:tcPr>
            <w:tcW w:w="1498" w:type="pct"/>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28,60</w:t>
            </w:r>
          </w:p>
        </w:tc>
        <w:tc>
          <w:tcPr>
            <w:tcW w:w="729" w:type="pct"/>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8,70</w:t>
            </w:r>
          </w:p>
        </w:tc>
      </w:tr>
      <w:tr w:rsidR="00171D1D" w:rsidRPr="00592BA7" w:rsidTr="00592BA7">
        <w:trPr>
          <w:trHeight w:val="359"/>
          <w:jc w:val="center"/>
        </w:trPr>
        <w:tc>
          <w:tcPr>
            <w:tcW w:w="258" w:type="pct"/>
            <w:shd w:val="clear" w:color="000000" w:fill="FFFFFF"/>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9</w:t>
            </w:r>
          </w:p>
        </w:tc>
        <w:tc>
          <w:tcPr>
            <w:tcW w:w="1155" w:type="pct"/>
            <w:shd w:val="clear" w:color="000000" w:fill="FFFFFF"/>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д. Петропавловск</w:t>
            </w:r>
          </w:p>
        </w:tc>
        <w:tc>
          <w:tcPr>
            <w:tcW w:w="1360"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14,4</w:t>
            </w:r>
          </w:p>
        </w:tc>
        <w:tc>
          <w:tcPr>
            <w:tcW w:w="1498" w:type="pct"/>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17,29</w:t>
            </w:r>
          </w:p>
        </w:tc>
        <w:tc>
          <w:tcPr>
            <w:tcW w:w="729" w:type="pct"/>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5,26</w:t>
            </w:r>
          </w:p>
        </w:tc>
      </w:tr>
      <w:tr w:rsidR="00171D1D" w:rsidRPr="00592BA7" w:rsidTr="00592BA7">
        <w:trPr>
          <w:trHeight w:val="359"/>
          <w:jc w:val="center"/>
        </w:trPr>
        <w:tc>
          <w:tcPr>
            <w:tcW w:w="258" w:type="pct"/>
            <w:shd w:val="clear" w:color="000000" w:fill="FFFFFF"/>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10</w:t>
            </w:r>
          </w:p>
        </w:tc>
        <w:tc>
          <w:tcPr>
            <w:tcW w:w="1155" w:type="pct"/>
            <w:shd w:val="clear" w:color="000000" w:fill="FFFFFF"/>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д.Торханы</w:t>
            </w:r>
          </w:p>
        </w:tc>
        <w:tc>
          <w:tcPr>
            <w:tcW w:w="1360"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28,2</w:t>
            </w:r>
          </w:p>
        </w:tc>
        <w:tc>
          <w:tcPr>
            <w:tcW w:w="1498" w:type="pct"/>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33,86</w:t>
            </w:r>
          </w:p>
        </w:tc>
        <w:tc>
          <w:tcPr>
            <w:tcW w:w="729" w:type="pct"/>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10,30</w:t>
            </w:r>
          </w:p>
        </w:tc>
      </w:tr>
      <w:tr w:rsidR="00171D1D" w:rsidRPr="00592BA7" w:rsidTr="00592BA7">
        <w:trPr>
          <w:trHeight w:val="359"/>
          <w:jc w:val="center"/>
        </w:trPr>
        <w:tc>
          <w:tcPr>
            <w:tcW w:w="258" w:type="pct"/>
            <w:shd w:val="clear" w:color="000000" w:fill="FFFFFF"/>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11</w:t>
            </w:r>
          </w:p>
        </w:tc>
        <w:tc>
          <w:tcPr>
            <w:tcW w:w="1155" w:type="pct"/>
            <w:shd w:val="clear" w:color="000000" w:fill="FFFFFF"/>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д. Чертаганы</w:t>
            </w:r>
          </w:p>
        </w:tc>
        <w:tc>
          <w:tcPr>
            <w:tcW w:w="1360"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1,4</w:t>
            </w:r>
          </w:p>
        </w:tc>
        <w:tc>
          <w:tcPr>
            <w:tcW w:w="1498" w:type="pct"/>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1,64</w:t>
            </w:r>
          </w:p>
        </w:tc>
        <w:tc>
          <w:tcPr>
            <w:tcW w:w="729" w:type="pct"/>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0,50</w:t>
            </w:r>
          </w:p>
        </w:tc>
      </w:tr>
      <w:tr w:rsidR="00171D1D" w:rsidRPr="00592BA7" w:rsidTr="00592BA7">
        <w:trPr>
          <w:trHeight w:val="359"/>
          <w:jc w:val="center"/>
        </w:trPr>
        <w:tc>
          <w:tcPr>
            <w:tcW w:w="258" w:type="pct"/>
            <w:shd w:val="clear" w:color="000000" w:fill="FFFFFF"/>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12</w:t>
            </w:r>
          </w:p>
        </w:tc>
        <w:tc>
          <w:tcPr>
            <w:tcW w:w="1155" w:type="pct"/>
            <w:shd w:val="clear" w:color="000000" w:fill="FFFFFF"/>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д. Мал. Туваны</w:t>
            </w:r>
          </w:p>
        </w:tc>
        <w:tc>
          <w:tcPr>
            <w:tcW w:w="1360"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16,7</w:t>
            </w:r>
          </w:p>
        </w:tc>
        <w:tc>
          <w:tcPr>
            <w:tcW w:w="1498" w:type="pct"/>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20,05</w:t>
            </w:r>
          </w:p>
        </w:tc>
        <w:tc>
          <w:tcPr>
            <w:tcW w:w="729" w:type="pct"/>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6,10</w:t>
            </w:r>
          </w:p>
        </w:tc>
      </w:tr>
      <w:tr w:rsidR="00171D1D" w:rsidRPr="00592BA7" w:rsidTr="00592BA7">
        <w:trPr>
          <w:trHeight w:val="359"/>
          <w:jc w:val="center"/>
        </w:trPr>
        <w:tc>
          <w:tcPr>
            <w:tcW w:w="258" w:type="pct"/>
            <w:shd w:val="clear" w:color="000000" w:fill="FFFFFF"/>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13</w:t>
            </w:r>
          </w:p>
        </w:tc>
        <w:tc>
          <w:tcPr>
            <w:tcW w:w="1155" w:type="pct"/>
            <w:shd w:val="clear" w:color="000000" w:fill="FFFFFF"/>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 Туваны</w:t>
            </w:r>
          </w:p>
        </w:tc>
        <w:tc>
          <w:tcPr>
            <w:tcW w:w="1360"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19,2</w:t>
            </w:r>
          </w:p>
        </w:tc>
        <w:tc>
          <w:tcPr>
            <w:tcW w:w="1498" w:type="pct"/>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23,01</w:t>
            </w:r>
          </w:p>
        </w:tc>
        <w:tc>
          <w:tcPr>
            <w:tcW w:w="729" w:type="pct"/>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7,00</w:t>
            </w:r>
          </w:p>
        </w:tc>
      </w:tr>
      <w:tr w:rsidR="00171D1D" w:rsidRPr="00592BA7" w:rsidTr="00592BA7">
        <w:trPr>
          <w:trHeight w:val="359"/>
          <w:jc w:val="center"/>
        </w:trPr>
        <w:tc>
          <w:tcPr>
            <w:tcW w:w="258" w:type="pct"/>
            <w:shd w:val="clear" w:color="000000" w:fill="FFFFFF"/>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14</w:t>
            </w:r>
          </w:p>
        </w:tc>
        <w:tc>
          <w:tcPr>
            <w:tcW w:w="1155" w:type="pct"/>
            <w:shd w:val="clear" w:color="000000" w:fill="FFFFFF"/>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 Ходары</w:t>
            </w:r>
          </w:p>
        </w:tc>
        <w:tc>
          <w:tcPr>
            <w:tcW w:w="1360"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w:t>
            </w:r>
          </w:p>
        </w:tc>
        <w:tc>
          <w:tcPr>
            <w:tcW w:w="1498" w:type="pct"/>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12,00</w:t>
            </w:r>
          </w:p>
        </w:tc>
        <w:tc>
          <w:tcPr>
            <w:tcW w:w="729" w:type="pct"/>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3,65</w:t>
            </w:r>
          </w:p>
        </w:tc>
      </w:tr>
      <w:tr w:rsidR="00171D1D" w:rsidRPr="00592BA7" w:rsidTr="00592BA7">
        <w:trPr>
          <w:trHeight w:val="359"/>
          <w:jc w:val="center"/>
        </w:trPr>
        <w:tc>
          <w:tcPr>
            <w:tcW w:w="258" w:type="pct"/>
            <w:shd w:val="clear" w:color="000000" w:fill="FFFFFF"/>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15</w:t>
            </w:r>
          </w:p>
        </w:tc>
        <w:tc>
          <w:tcPr>
            <w:tcW w:w="1155" w:type="pct"/>
            <w:shd w:val="clear" w:color="000000" w:fill="FFFFFF"/>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д. Егоркино</w:t>
            </w:r>
          </w:p>
        </w:tc>
        <w:tc>
          <w:tcPr>
            <w:tcW w:w="1360"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19,2</w:t>
            </w:r>
          </w:p>
        </w:tc>
        <w:tc>
          <w:tcPr>
            <w:tcW w:w="1498" w:type="pct"/>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23,01</w:t>
            </w:r>
          </w:p>
        </w:tc>
        <w:tc>
          <w:tcPr>
            <w:tcW w:w="729" w:type="pct"/>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7,00</w:t>
            </w:r>
          </w:p>
        </w:tc>
      </w:tr>
      <w:tr w:rsidR="00171D1D" w:rsidRPr="00592BA7" w:rsidTr="00592BA7">
        <w:trPr>
          <w:trHeight w:val="359"/>
          <w:jc w:val="center"/>
        </w:trPr>
        <w:tc>
          <w:tcPr>
            <w:tcW w:w="258" w:type="pct"/>
            <w:shd w:val="clear" w:color="000000" w:fill="FFFFFF"/>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16</w:t>
            </w:r>
          </w:p>
        </w:tc>
        <w:tc>
          <w:tcPr>
            <w:tcW w:w="1155" w:type="pct"/>
            <w:shd w:val="clear" w:color="000000" w:fill="FFFFFF"/>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 Юманаи</w:t>
            </w:r>
          </w:p>
        </w:tc>
        <w:tc>
          <w:tcPr>
            <w:tcW w:w="1360"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21,0</w:t>
            </w:r>
          </w:p>
        </w:tc>
        <w:tc>
          <w:tcPr>
            <w:tcW w:w="1498" w:type="pct"/>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25,25</w:t>
            </w:r>
          </w:p>
        </w:tc>
        <w:tc>
          <w:tcPr>
            <w:tcW w:w="729" w:type="pct"/>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7,68</w:t>
            </w:r>
          </w:p>
        </w:tc>
      </w:tr>
      <w:tr w:rsidR="00171D1D" w:rsidRPr="00592BA7" w:rsidTr="00592BA7">
        <w:trPr>
          <w:trHeight w:val="359"/>
          <w:jc w:val="center"/>
        </w:trPr>
        <w:tc>
          <w:tcPr>
            <w:tcW w:w="258" w:type="pct"/>
            <w:shd w:val="clear" w:color="000000" w:fill="FFFFFF"/>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17</w:t>
            </w:r>
          </w:p>
        </w:tc>
        <w:tc>
          <w:tcPr>
            <w:tcW w:w="1155" w:type="pct"/>
            <w:shd w:val="clear" w:color="000000" w:fill="FFFFFF"/>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д. Кадеркино</w:t>
            </w:r>
          </w:p>
        </w:tc>
        <w:tc>
          <w:tcPr>
            <w:tcW w:w="1360"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8,5</w:t>
            </w:r>
          </w:p>
        </w:tc>
        <w:tc>
          <w:tcPr>
            <w:tcW w:w="1498" w:type="pct"/>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10,26</w:t>
            </w:r>
          </w:p>
        </w:tc>
        <w:tc>
          <w:tcPr>
            <w:tcW w:w="729" w:type="pct"/>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3,12</w:t>
            </w:r>
          </w:p>
        </w:tc>
      </w:tr>
      <w:tr w:rsidR="00171D1D" w:rsidRPr="00592BA7" w:rsidTr="00592BA7">
        <w:trPr>
          <w:trHeight w:val="359"/>
          <w:jc w:val="center"/>
        </w:trPr>
        <w:tc>
          <w:tcPr>
            <w:tcW w:w="258" w:type="pct"/>
            <w:shd w:val="clear" w:color="000000" w:fill="FFFFFF"/>
            <w:vAlign w:val="center"/>
          </w:tcPr>
          <w:p w:rsidR="00171D1D" w:rsidRPr="00592BA7" w:rsidRDefault="00171D1D" w:rsidP="00592BA7">
            <w:pPr>
              <w:jc w:val="both"/>
              <w:rPr>
                <w:rFonts w:ascii="Times New Roman" w:hAnsi="Times New Roman" w:cs="Times New Roman"/>
                <w:sz w:val="20"/>
                <w:szCs w:val="20"/>
                <w:lang w:val="en-US" w:eastAsia="ru-RU"/>
              </w:rPr>
            </w:pPr>
            <w:r w:rsidRPr="00592BA7">
              <w:rPr>
                <w:rFonts w:ascii="Times New Roman" w:hAnsi="Times New Roman" w:cs="Times New Roman"/>
                <w:sz w:val="20"/>
                <w:szCs w:val="20"/>
                <w:lang w:val="en-US" w:eastAsia="ru-RU"/>
              </w:rPr>
              <w:t>18</w:t>
            </w:r>
          </w:p>
        </w:tc>
        <w:tc>
          <w:tcPr>
            <w:tcW w:w="1155" w:type="pct"/>
            <w:shd w:val="clear" w:color="000000" w:fill="FFFFFF"/>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д. Шумерля</w:t>
            </w:r>
          </w:p>
        </w:tc>
        <w:tc>
          <w:tcPr>
            <w:tcW w:w="1360"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89,3</w:t>
            </w:r>
          </w:p>
        </w:tc>
        <w:tc>
          <w:tcPr>
            <w:tcW w:w="1498" w:type="pct"/>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107,19</w:t>
            </w:r>
          </w:p>
        </w:tc>
        <w:tc>
          <w:tcPr>
            <w:tcW w:w="729" w:type="pct"/>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32,60</w:t>
            </w:r>
          </w:p>
        </w:tc>
      </w:tr>
    </w:tbl>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3.4.2.4. Анализ имеющихся резервов и дефицитов мощности в системе водоснабжения и ожидаемых резервов, и дефицитов</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Запас производственной мощности водозаборных сооружений рассчитать не представляет возможности в виду отсутствия данных.</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3.4.2.5. Анализ показателей готовности системы водоснабжения, имеющиеся проблемы и направления их решения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Подготовка объектов водоснабжения начинается в предыдущем периоде с систематизации выявленных дефектов в работе оборудования и отклонений от гидравлических и технологических режимов, составления планов работ, подготовки необходимой документации, заключения договоров с подрядными организациями и материально-техническим обеспечением плановых работ.</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Насосное оборудование имеет резерв как по производительности, так и взаимозаменяемости в случае нештатных ситуаций.</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Качество услуг водоснабжения определено условиями договора и гарантирует бесперебойность предоставления услуг, соответствие их стандартам и нормативам.</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3.4.2.6. Воздействие на окружающую среду, имеющиеся проблемы и направления их решения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На водный бассейн предлагаемых к строительству и реконструкции объектов централизованных систем водоснабжения при сбросе (утилизации) промывных вод</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Технологический процесс забора воды из скважин и транспортирования её в водопроводную сеть не сопровождается вредными выбросами.</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Эксплуатация водопроводной сети, а также ее строительство, не предусматривают каких-либо сбросов вредных веществ в водоемы и на рельеф.</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При испытании водопроводной сети на герметичность используется сетевая вода. Слив воды из трубопроводов после испытания и промывки производится на рельеф местности. Негативное воздействие на состояние поверхностных и подземных вод будет наблюдаться только в период строительства, носить временный характер и не окажет существенного влияния на состояние окружающей среды.</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На окружающую среду при реализации мероприятий по снабжению и хранению химических реагентов, используемых в водоподготовке (хлор и др.)</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В д. Шумерля, п. Кабаново, с. Большие Алгаши, с. Русские Алгаши, д. Чувашские Алгаши, п. Мыслец, с. Нижняя Кумашка, д. Петропавловск, д. Торханы, д. Чертаганы, д. Малые Туваны, с. Туваны, с. Ходары, д. Егоркино, с. Юманаи, д. Кадеркино на скважинах отсутствуют водоочистные сооружения.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 Используемые в водоподготовке реагенты, при ненадлежащей эксплуатации отрицательно влияют на состояние окружающей среды. Поэтому необходимо при реализации мероприятий по снабжению, хранению и применению химических реагентов соблюдать правила и нормы, установленные нормативными документами, а также в соответствие с рекомендациями производителя.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3.4.3. Анализ финансового состояния организаций коммунального комплекса, тарифов на коммунальные ресурсы</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Таблица 3.4.3.1</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Утвержденные тарифы в сфере холодного водоснабжения </w:t>
      </w:r>
    </w:p>
    <w:tbl>
      <w:tblPr>
        <w:tblW w:w="5000" w:type="pct"/>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74"/>
        <w:gridCol w:w="1297"/>
        <w:gridCol w:w="1509"/>
        <w:gridCol w:w="1441"/>
        <w:gridCol w:w="1732"/>
      </w:tblGrid>
      <w:tr w:rsidR="00171D1D" w:rsidRPr="00592BA7" w:rsidTr="00592BA7">
        <w:trPr>
          <w:trHeight w:val="315"/>
        </w:trPr>
        <w:tc>
          <w:tcPr>
            <w:tcW w:w="1966" w:type="pct"/>
            <w:shd w:val="clear" w:color="auto" w:fill="auto"/>
            <w:noWrap/>
            <w:vAlign w:val="bottom"/>
            <w:hideMark/>
          </w:tcPr>
          <w:p w:rsidR="00171D1D" w:rsidRPr="00592BA7" w:rsidRDefault="00171D1D" w:rsidP="00592BA7">
            <w:pPr>
              <w:jc w:val="both"/>
              <w:rPr>
                <w:rFonts w:ascii="Times New Roman" w:hAnsi="Times New Roman" w:cs="Times New Roman"/>
                <w:sz w:val="20"/>
                <w:szCs w:val="20"/>
                <w:lang w:eastAsia="ru-RU"/>
              </w:rPr>
            </w:pPr>
          </w:p>
        </w:tc>
        <w:tc>
          <w:tcPr>
            <w:tcW w:w="3034" w:type="pct"/>
            <w:gridSpan w:val="4"/>
            <w:shd w:val="clear" w:color="auto" w:fill="auto"/>
            <w:vAlign w:val="bottom"/>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руб./ 1 куб.метр </w:t>
            </w:r>
          </w:p>
        </w:tc>
      </w:tr>
      <w:tr w:rsidR="00171D1D" w:rsidRPr="00592BA7" w:rsidTr="00592BA7">
        <w:trPr>
          <w:trHeight w:val="600"/>
        </w:trPr>
        <w:tc>
          <w:tcPr>
            <w:tcW w:w="1966" w:type="pct"/>
            <w:vMerge w:val="restart"/>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Наименование регулируемой организации</w:t>
            </w:r>
          </w:p>
        </w:tc>
        <w:tc>
          <w:tcPr>
            <w:tcW w:w="658" w:type="pct"/>
            <w:vMerge w:val="restart"/>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Тарифы на 31.12.2023</w:t>
            </w:r>
          </w:p>
        </w:tc>
        <w:tc>
          <w:tcPr>
            <w:tcW w:w="766" w:type="pct"/>
            <w:vMerge w:val="restart"/>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Тарифы с 01.01.2024 по 30.06.2024</w:t>
            </w:r>
          </w:p>
        </w:tc>
        <w:tc>
          <w:tcPr>
            <w:tcW w:w="731" w:type="pct"/>
            <w:vMerge w:val="restart"/>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Тарифы с 01.07.2024 по 31.12.2024</w:t>
            </w:r>
          </w:p>
        </w:tc>
        <w:tc>
          <w:tcPr>
            <w:tcW w:w="879" w:type="pct"/>
            <w:vMerge w:val="restart"/>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Изменение тарифа с 01.07.2024 к 31.12.2023, в %</w:t>
            </w:r>
          </w:p>
        </w:tc>
      </w:tr>
      <w:tr w:rsidR="00171D1D" w:rsidRPr="00592BA7" w:rsidTr="00592BA7">
        <w:trPr>
          <w:trHeight w:val="517"/>
        </w:trPr>
        <w:tc>
          <w:tcPr>
            <w:tcW w:w="1966" w:type="pct"/>
            <w:vMerge/>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658" w:type="pct"/>
            <w:vMerge/>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766" w:type="pct"/>
            <w:vMerge/>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731" w:type="pct"/>
            <w:vMerge/>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79" w:type="pct"/>
            <w:vMerge/>
            <w:vAlign w:val="center"/>
            <w:hideMark/>
          </w:tcPr>
          <w:p w:rsidR="00171D1D" w:rsidRPr="00592BA7" w:rsidRDefault="00171D1D" w:rsidP="00592BA7">
            <w:pPr>
              <w:jc w:val="both"/>
              <w:rPr>
                <w:rFonts w:ascii="Times New Roman" w:hAnsi="Times New Roman" w:cs="Times New Roman"/>
                <w:sz w:val="20"/>
                <w:szCs w:val="20"/>
                <w:lang w:eastAsia="ru-RU"/>
              </w:rPr>
            </w:pPr>
          </w:p>
        </w:tc>
      </w:tr>
      <w:tr w:rsidR="00171D1D" w:rsidRPr="00592BA7" w:rsidTr="00592BA7">
        <w:trPr>
          <w:trHeight w:val="300"/>
        </w:trPr>
        <w:tc>
          <w:tcPr>
            <w:tcW w:w="1966" w:type="pct"/>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МУП «Юманайское ЖКХ»</w:t>
            </w:r>
          </w:p>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rPr>
              <w:t xml:space="preserve"> </w:t>
            </w:r>
            <w:r w:rsidRPr="00592BA7">
              <w:rPr>
                <w:rFonts w:ascii="Times New Roman" w:hAnsi="Times New Roman" w:cs="Times New Roman"/>
                <w:sz w:val="20"/>
                <w:szCs w:val="20"/>
                <w:lang w:eastAsia="ru-RU"/>
              </w:rPr>
              <w:t>(без доп. НДС)</w:t>
            </w:r>
          </w:p>
        </w:tc>
        <w:tc>
          <w:tcPr>
            <w:tcW w:w="658" w:type="pct"/>
            <w:shd w:val="clear" w:color="auto" w:fill="auto"/>
            <w:noWrap/>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35,58</w:t>
            </w:r>
          </w:p>
        </w:tc>
        <w:tc>
          <w:tcPr>
            <w:tcW w:w="766" w:type="pct"/>
            <w:shd w:val="clear" w:color="auto" w:fill="auto"/>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35,58</w:t>
            </w:r>
          </w:p>
        </w:tc>
        <w:tc>
          <w:tcPr>
            <w:tcW w:w="731" w:type="pct"/>
            <w:shd w:val="clear" w:color="auto" w:fill="auto"/>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37,51</w:t>
            </w:r>
          </w:p>
        </w:tc>
        <w:tc>
          <w:tcPr>
            <w:tcW w:w="879" w:type="pct"/>
            <w:shd w:val="clear" w:color="auto" w:fill="auto"/>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105,4</w:t>
            </w:r>
          </w:p>
        </w:tc>
      </w:tr>
      <w:tr w:rsidR="00171D1D" w:rsidRPr="00592BA7" w:rsidTr="00592BA7">
        <w:trPr>
          <w:trHeight w:val="300"/>
        </w:trPr>
        <w:tc>
          <w:tcPr>
            <w:tcW w:w="1966"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МУП «Чистая вода»</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 НДС)</w:t>
            </w:r>
          </w:p>
        </w:tc>
        <w:tc>
          <w:tcPr>
            <w:tcW w:w="658" w:type="pct"/>
            <w:shd w:val="clear" w:color="auto" w:fill="auto"/>
            <w:noWrap/>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36,05</w:t>
            </w:r>
          </w:p>
        </w:tc>
        <w:tc>
          <w:tcPr>
            <w:tcW w:w="766" w:type="pct"/>
            <w:shd w:val="clear" w:color="auto" w:fill="auto"/>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36,05</w:t>
            </w:r>
          </w:p>
        </w:tc>
        <w:tc>
          <w:tcPr>
            <w:tcW w:w="731" w:type="pct"/>
            <w:shd w:val="clear" w:color="auto" w:fill="auto"/>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36,55</w:t>
            </w:r>
          </w:p>
        </w:tc>
        <w:tc>
          <w:tcPr>
            <w:tcW w:w="879" w:type="pct"/>
            <w:shd w:val="clear" w:color="auto" w:fill="auto"/>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101,4</w:t>
            </w:r>
          </w:p>
        </w:tc>
      </w:tr>
    </w:tbl>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Действующие нормативы потребления холодного водоснабжения утверждены Постановлением Кабинетом министров Чувашской Республики от 4 сентября 2012 года N 370 «Об утверждении нормативов потребления коммунальных услуг по холодному и горячему водоснабжению, водоотведению и нормативов потребления холодной воды, горячей воды, отведения сточных вод в целях содержания общего имущества в многоквартирном доме на территории Чувашской Республики».</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Удельное среднесуточное водопотребление населенных пунктов и комплексов отдыха принимается в соответствии с ВСН 23-75, нормативов государственных социальных стандартов и приведено в таблице 3.4.3.2.</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Таблица 3.4.3.2</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81"/>
        <w:gridCol w:w="2034"/>
        <w:gridCol w:w="2438"/>
      </w:tblGrid>
      <w:tr w:rsidR="00171D1D" w:rsidRPr="00592BA7" w:rsidTr="00592BA7">
        <w:trPr>
          <w:tblHeader/>
          <w:jc w:val="center"/>
        </w:trPr>
        <w:tc>
          <w:tcPr>
            <w:tcW w:w="2731"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Водопотребители</w:t>
            </w:r>
          </w:p>
        </w:tc>
        <w:tc>
          <w:tcPr>
            <w:tcW w:w="1032"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Единица измерения</w:t>
            </w:r>
          </w:p>
        </w:tc>
        <w:tc>
          <w:tcPr>
            <w:tcW w:w="1237"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Удельное водопотребление</w:t>
            </w:r>
          </w:p>
        </w:tc>
      </w:tr>
      <w:tr w:rsidR="00171D1D" w:rsidRPr="00592BA7" w:rsidTr="00592BA7">
        <w:trPr>
          <w:jc w:val="center"/>
        </w:trPr>
        <w:tc>
          <w:tcPr>
            <w:tcW w:w="2731"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Рабочие поселки</w:t>
            </w:r>
          </w:p>
        </w:tc>
        <w:tc>
          <w:tcPr>
            <w:tcW w:w="1032"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л/сут. на 1 человека</w:t>
            </w:r>
          </w:p>
        </w:tc>
        <w:tc>
          <w:tcPr>
            <w:tcW w:w="1237"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280</w:t>
            </w:r>
          </w:p>
        </w:tc>
      </w:tr>
      <w:tr w:rsidR="00171D1D" w:rsidRPr="00592BA7" w:rsidTr="00592BA7">
        <w:trPr>
          <w:jc w:val="center"/>
        </w:trPr>
        <w:tc>
          <w:tcPr>
            <w:tcW w:w="2731"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Поселения </w:t>
            </w:r>
            <w:r w:rsidRPr="00592BA7">
              <w:rPr>
                <w:rFonts w:ascii="Times New Roman" w:hAnsi="Times New Roman" w:cs="Times New Roman"/>
                <w:sz w:val="20"/>
                <w:szCs w:val="20"/>
                <w:lang w:val="en-US"/>
              </w:rPr>
              <w:t>I</w:t>
            </w:r>
            <w:r w:rsidRPr="00592BA7">
              <w:rPr>
                <w:rFonts w:ascii="Times New Roman" w:hAnsi="Times New Roman" w:cs="Times New Roman"/>
                <w:sz w:val="20"/>
                <w:szCs w:val="20"/>
              </w:rPr>
              <w:t xml:space="preserve"> и </w:t>
            </w:r>
            <w:r w:rsidRPr="00592BA7">
              <w:rPr>
                <w:rFonts w:ascii="Times New Roman" w:hAnsi="Times New Roman" w:cs="Times New Roman"/>
                <w:sz w:val="20"/>
                <w:szCs w:val="20"/>
                <w:lang w:val="en-US"/>
              </w:rPr>
              <w:t>II</w:t>
            </w:r>
            <w:r w:rsidRPr="00592BA7">
              <w:rPr>
                <w:rFonts w:ascii="Times New Roman" w:hAnsi="Times New Roman" w:cs="Times New Roman"/>
                <w:sz w:val="20"/>
                <w:szCs w:val="20"/>
              </w:rPr>
              <w:t xml:space="preserve"> типов</w:t>
            </w:r>
          </w:p>
        </w:tc>
        <w:tc>
          <w:tcPr>
            <w:tcW w:w="1032"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л/сут. на 1 человека</w:t>
            </w:r>
          </w:p>
        </w:tc>
        <w:tc>
          <w:tcPr>
            <w:tcW w:w="1237"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250</w:t>
            </w:r>
          </w:p>
        </w:tc>
      </w:tr>
      <w:tr w:rsidR="00171D1D" w:rsidRPr="00592BA7" w:rsidTr="00592BA7">
        <w:trPr>
          <w:jc w:val="center"/>
        </w:trPr>
        <w:tc>
          <w:tcPr>
            <w:tcW w:w="2731"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Поселения </w:t>
            </w:r>
            <w:r w:rsidRPr="00592BA7">
              <w:rPr>
                <w:rFonts w:ascii="Times New Roman" w:hAnsi="Times New Roman" w:cs="Times New Roman"/>
                <w:sz w:val="20"/>
                <w:szCs w:val="20"/>
                <w:lang w:val="en-US"/>
              </w:rPr>
              <w:t>III</w:t>
            </w:r>
            <w:r w:rsidRPr="00592BA7">
              <w:rPr>
                <w:rFonts w:ascii="Times New Roman" w:hAnsi="Times New Roman" w:cs="Times New Roman"/>
                <w:sz w:val="20"/>
                <w:szCs w:val="20"/>
              </w:rPr>
              <w:t xml:space="preserve"> типа</w:t>
            </w:r>
          </w:p>
        </w:tc>
        <w:tc>
          <w:tcPr>
            <w:tcW w:w="1032"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л/сут. на 1 человека</w:t>
            </w:r>
          </w:p>
        </w:tc>
        <w:tc>
          <w:tcPr>
            <w:tcW w:w="1237"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200</w:t>
            </w:r>
          </w:p>
        </w:tc>
      </w:tr>
      <w:tr w:rsidR="00171D1D" w:rsidRPr="00592BA7" w:rsidTr="00592BA7">
        <w:trPr>
          <w:jc w:val="center"/>
        </w:trPr>
        <w:tc>
          <w:tcPr>
            <w:tcW w:w="2731"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Рядовые поселения</w:t>
            </w:r>
          </w:p>
        </w:tc>
        <w:tc>
          <w:tcPr>
            <w:tcW w:w="1032"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л/сут. на 1 человека</w:t>
            </w:r>
          </w:p>
        </w:tc>
        <w:tc>
          <w:tcPr>
            <w:tcW w:w="1237"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100-125</w:t>
            </w:r>
          </w:p>
        </w:tc>
      </w:tr>
      <w:tr w:rsidR="00171D1D" w:rsidRPr="00592BA7" w:rsidTr="00592BA7">
        <w:trPr>
          <w:jc w:val="center"/>
        </w:trPr>
        <w:tc>
          <w:tcPr>
            <w:tcW w:w="2731"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Учреждения отдыха:</w:t>
            </w:r>
          </w:p>
        </w:tc>
        <w:tc>
          <w:tcPr>
            <w:tcW w:w="1032" w:type="pct"/>
            <w:vAlign w:val="center"/>
          </w:tcPr>
          <w:p w:rsidR="00171D1D" w:rsidRPr="00592BA7" w:rsidRDefault="00171D1D" w:rsidP="00592BA7">
            <w:pPr>
              <w:jc w:val="both"/>
              <w:rPr>
                <w:rFonts w:ascii="Times New Roman" w:hAnsi="Times New Roman" w:cs="Times New Roman"/>
                <w:sz w:val="20"/>
                <w:szCs w:val="20"/>
              </w:rPr>
            </w:pPr>
          </w:p>
        </w:tc>
        <w:tc>
          <w:tcPr>
            <w:tcW w:w="1237" w:type="pct"/>
            <w:vAlign w:val="center"/>
          </w:tcPr>
          <w:p w:rsidR="00171D1D" w:rsidRPr="00592BA7" w:rsidRDefault="00171D1D" w:rsidP="00592BA7">
            <w:pPr>
              <w:jc w:val="both"/>
              <w:rPr>
                <w:rFonts w:ascii="Times New Roman" w:hAnsi="Times New Roman" w:cs="Times New Roman"/>
                <w:sz w:val="20"/>
                <w:szCs w:val="20"/>
              </w:rPr>
            </w:pPr>
          </w:p>
        </w:tc>
      </w:tr>
      <w:tr w:rsidR="00171D1D" w:rsidRPr="00592BA7" w:rsidTr="00592BA7">
        <w:trPr>
          <w:jc w:val="center"/>
        </w:trPr>
        <w:tc>
          <w:tcPr>
            <w:tcW w:w="2731"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санатории</w:t>
            </w:r>
          </w:p>
        </w:tc>
        <w:tc>
          <w:tcPr>
            <w:tcW w:w="1032"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л/сут. на 1 человека</w:t>
            </w:r>
          </w:p>
        </w:tc>
        <w:tc>
          <w:tcPr>
            <w:tcW w:w="1237"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350</w:t>
            </w:r>
          </w:p>
        </w:tc>
      </w:tr>
      <w:tr w:rsidR="00171D1D" w:rsidRPr="00592BA7" w:rsidTr="00592BA7">
        <w:trPr>
          <w:jc w:val="center"/>
        </w:trPr>
        <w:tc>
          <w:tcPr>
            <w:tcW w:w="2731"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детский отдых</w:t>
            </w:r>
          </w:p>
        </w:tc>
        <w:tc>
          <w:tcPr>
            <w:tcW w:w="1032"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л/сут. на 1 человека</w:t>
            </w:r>
          </w:p>
        </w:tc>
        <w:tc>
          <w:tcPr>
            <w:tcW w:w="1237"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200</w:t>
            </w:r>
          </w:p>
        </w:tc>
      </w:tr>
      <w:tr w:rsidR="00171D1D" w:rsidRPr="00592BA7" w:rsidTr="00592BA7">
        <w:trPr>
          <w:jc w:val="center"/>
        </w:trPr>
        <w:tc>
          <w:tcPr>
            <w:tcW w:w="2731"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кратковременный отдых</w:t>
            </w:r>
          </w:p>
        </w:tc>
        <w:tc>
          <w:tcPr>
            <w:tcW w:w="1032"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л/сут. на 1 человека</w:t>
            </w:r>
          </w:p>
        </w:tc>
        <w:tc>
          <w:tcPr>
            <w:tcW w:w="1237"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w:t>
            </w:r>
          </w:p>
        </w:tc>
      </w:tr>
    </w:tbl>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Принятое удельное среднесуточное водопотребление населением включает расходы воды на хозяйственно-питьевые нужды в жилых и общественных зданиях, нужды местной промышленности, полив улиц и зеленых насаждений, полив приусадебных участков, нужды домашнего животноводства в населенных пунктах, неучтенные расходы.</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Расход воды в местах отдыха рассчитан на максимальную нагрузку, т.е. летний период и в принятые нормы включены (кроме полива) дополнительные расходы воды на групповые душевые и ножные ванны в бытовых зданиях, на стирку белья в прачечных, на приготовление пищи на предприятиях общественного питания.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3.5. Система водоотведения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3.5.1. Описание организационной структуры, формы собственности и системы договоров между организациями, а также с потребителями</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Объекты канализации на территории Шумерлинского муниципального округа не действующие, в не рабочем состоянии, функционируют только сети водоотведения, сбросом на рельеф местности. В остальных населенных пунктах существующий жилой фонд не обеспечен внутренними системами канализации. Поэтому преобладающее место в системе канализации отведено выгребам и септикам.</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Таблица 3.5.1.1</w:t>
      </w:r>
    </w:p>
    <w:tbl>
      <w:tblPr>
        <w:tblW w:w="5000" w:type="pct"/>
        <w:jc w:val="center"/>
        <w:tblLook w:val="04A0" w:firstRow="1" w:lastRow="0" w:firstColumn="1" w:lastColumn="0" w:noHBand="0" w:noVBand="1"/>
      </w:tblPr>
      <w:tblGrid>
        <w:gridCol w:w="2087"/>
        <w:gridCol w:w="3726"/>
        <w:gridCol w:w="4040"/>
      </w:tblGrid>
      <w:tr w:rsidR="00171D1D" w:rsidRPr="00592BA7" w:rsidTr="00592BA7">
        <w:trPr>
          <w:jc w:val="center"/>
        </w:trPr>
        <w:tc>
          <w:tcPr>
            <w:tcW w:w="1059" w:type="pct"/>
            <w:vMerge w:val="restart"/>
            <w:shd w:val="clear" w:color="auto" w:fill="auto"/>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Наименование объекта</w:t>
            </w:r>
          </w:p>
        </w:tc>
        <w:tc>
          <w:tcPr>
            <w:tcW w:w="3941" w:type="pct"/>
            <w:gridSpan w:val="2"/>
            <w:shd w:val="clear" w:color="auto" w:fill="auto"/>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Схема очистки сточных вод и обработки осадка (основные сооружения)</w:t>
            </w:r>
          </w:p>
        </w:tc>
      </w:tr>
      <w:tr w:rsidR="00171D1D" w:rsidRPr="00592BA7" w:rsidTr="00592BA7">
        <w:trPr>
          <w:jc w:val="center"/>
        </w:trPr>
        <w:tc>
          <w:tcPr>
            <w:tcW w:w="1059" w:type="pct"/>
            <w:vMerge/>
            <w:shd w:val="clear" w:color="auto" w:fill="auto"/>
            <w:vAlign w:val="center"/>
          </w:tcPr>
          <w:p w:rsidR="00171D1D" w:rsidRPr="00592BA7" w:rsidRDefault="00171D1D" w:rsidP="00592BA7">
            <w:pPr>
              <w:jc w:val="both"/>
              <w:rPr>
                <w:rFonts w:ascii="Times New Roman" w:hAnsi="Times New Roman" w:cs="Times New Roman"/>
                <w:sz w:val="20"/>
                <w:szCs w:val="20"/>
                <w:lang w:eastAsia="ru-RU"/>
              </w:rPr>
            </w:pPr>
          </w:p>
        </w:tc>
        <w:tc>
          <w:tcPr>
            <w:tcW w:w="1891" w:type="pct"/>
            <w:shd w:val="clear" w:color="auto" w:fill="auto"/>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Механическая очистка</w:t>
            </w:r>
          </w:p>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(состав сооружений и оборудования)</w:t>
            </w:r>
          </w:p>
        </w:tc>
        <w:tc>
          <w:tcPr>
            <w:tcW w:w="2050" w:type="pct"/>
            <w:shd w:val="clear" w:color="auto" w:fill="auto"/>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Биологическая очистка</w:t>
            </w:r>
          </w:p>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(состав сооружений и оборудования)</w:t>
            </w:r>
          </w:p>
        </w:tc>
      </w:tr>
      <w:tr w:rsidR="00171D1D" w:rsidRPr="00592BA7" w:rsidTr="00592BA7">
        <w:trPr>
          <w:trHeight w:val="77"/>
          <w:jc w:val="center"/>
        </w:trPr>
        <w:tc>
          <w:tcPr>
            <w:tcW w:w="1059" w:type="pct"/>
            <w:shd w:val="clear" w:color="auto" w:fill="auto"/>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с. Бол. Алгаши</w:t>
            </w:r>
          </w:p>
        </w:tc>
        <w:tc>
          <w:tcPr>
            <w:tcW w:w="1891" w:type="pct"/>
            <w:shd w:val="clear" w:color="auto" w:fill="auto"/>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w:t>
            </w:r>
          </w:p>
        </w:tc>
        <w:tc>
          <w:tcPr>
            <w:tcW w:w="2050" w:type="pct"/>
            <w:shd w:val="clear" w:color="auto" w:fill="auto"/>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Не действ.</w:t>
            </w:r>
          </w:p>
        </w:tc>
      </w:tr>
      <w:tr w:rsidR="00171D1D" w:rsidRPr="00592BA7" w:rsidTr="00592BA7">
        <w:trPr>
          <w:trHeight w:val="137"/>
          <w:jc w:val="center"/>
        </w:trPr>
        <w:tc>
          <w:tcPr>
            <w:tcW w:w="1059" w:type="pct"/>
            <w:shd w:val="clear" w:color="auto" w:fill="auto"/>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с. Русс Алгаши</w:t>
            </w:r>
          </w:p>
        </w:tc>
        <w:tc>
          <w:tcPr>
            <w:tcW w:w="1891" w:type="pct"/>
            <w:shd w:val="clear" w:color="auto" w:fill="auto"/>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w:t>
            </w:r>
          </w:p>
        </w:tc>
        <w:tc>
          <w:tcPr>
            <w:tcW w:w="2050" w:type="pct"/>
            <w:shd w:val="clear" w:color="auto" w:fill="auto"/>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Не действ.</w:t>
            </w:r>
          </w:p>
        </w:tc>
      </w:tr>
      <w:tr w:rsidR="00171D1D" w:rsidRPr="00592BA7" w:rsidTr="00592BA7">
        <w:trPr>
          <w:trHeight w:val="137"/>
          <w:jc w:val="center"/>
        </w:trPr>
        <w:tc>
          <w:tcPr>
            <w:tcW w:w="1059" w:type="pct"/>
            <w:shd w:val="clear" w:color="auto" w:fill="auto"/>
            <w:vAlign w:val="center"/>
          </w:tcPr>
          <w:p w:rsidR="00171D1D" w:rsidRPr="00592BA7" w:rsidRDefault="00171D1D" w:rsidP="00592BA7">
            <w:pPr>
              <w:jc w:val="both"/>
              <w:rPr>
                <w:rFonts w:ascii="Times New Roman" w:hAnsi="Times New Roman" w:cs="Times New Roman"/>
                <w:sz w:val="20"/>
                <w:szCs w:val="20"/>
                <w:lang w:eastAsia="ru-RU"/>
              </w:rPr>
            </w:pPr>
          </w:p>
        </w:tc>
        <w:tc>
          <w:tcPr>
            <w:tcW w:w="1891" w:type="pct"/>
            <w:shd w:val="clear" w:color="auto" w:fill="auto"/>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w:t>
            </w:r>
          </w:p>
        </w:tc>
        <w:tc>
          <w:tcPr>
            <w:tcW w:w="2050" w:type="pct"/>
            <w:shd w:val="clear" w:color="auto" w:fill="auto"/>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Станция очистки</w:t>
            </w:r>
          </w:p>
        </w:tc>
      </w:tr>
      <w:tr w:rsidR="00171D1D" w:rsidRPr="00592BA7" w:rsidTr="00592BA7">
        <w:trPr>
          <w:trHeight w:val="77"/>
          <w:jc w:val="center"/>
        </w:trPr>
        <w:tc>
          <w:tcPr>
            <w:tcW w:w="1059" w:type="pct"/>
            <w:shd w:val="clear" w:color="auto" w:fill="auto"/>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с. Ходары</w:t>
            </w:r>
          </w:p>
        </w:tc>
        <w:tc>
          <w:tcPr>
            <w:tcW w:w="1891" w:type="pct"/>
            <w:shd w:val="clear" w:color="auto" w:fill="auto"/>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w:t>
            </w:r>
          </w:p>
        </w:tc>
        <w:tc>
          <w:tcPr>
            <w:tcW w:w="2050" w:type="pct"/>
            <w:shd w:val="clear" w:color="auto" w:fill="auto"/>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Не действ.</w:t>
            </w:r>
          </w:p>
        </w:tc>
      </w:tr>
      <w:tr w:rsidR="00171D1D" w:rsidRPr="00592BA7" w:rsidTr="00592BA7">
        <w:trPr>
          <w:trHeight w:val="77"/>
          <w:jc w:val="center"/>
        </w:trPr>
        <w:tc>
          <w:tcPr>
            <w:tcW w:w="1059" w:type="pct"/>
            <w:shd w:val="clear" w:color="auto" w:fill="auto"/>
            <w:vAlign w:val="center"/>
          </w:tcPr>
          <w:p w:rsidR="00171D1D" w:rsidRPr="00592BA7" w:rsidRDefault="00171D1D" w:rsidP="00592BA7">
            <w:pPr>
              <w:jc w:val="both"/>
              <w:rPr>
                <w:rFonts w:ascii="Times New Roman" w:hAnsi="Times New Roman" w:cs="Times New Roman"/>
                <w:sz w:val="20"/>
                <w:szCs w:val="20"/>
                <w:lang w:eastAsia="ru-RU"/>
              </w:rPr>
            </w:pPr>
          </w:p>
        </w:tc>
        <w:tc>
          <w:tcPr>
            <w:tcW w:w="1891" w:type="pct"/>
            <w:shd w:val="clear" w:color="auto" w:fill="auto"/>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w:t>
            </w:r>
          </w:p>
        </w:tc>
        <w:tc>
          <w:tcPr>
            <w:tcW w:w="2050" w:type="pct"/>
            <w:shd w:val="clear" w:color="auto" w:fill="auto"/>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Септик</w:t>
            </w:r>
          </w:p>
        </w:tc>
      </w:tr>
      <w:tr w:rsidR="00171D1D" w:rsidRPr="00592BA7" w:rsidTr="00592BA7">
        <w:trPr>
          <w:trHeight w:val="77"/>
          <w:jc w:val="center"/>
        </w:trPr>
        <w:tc>
          <w:tcPr>
            <w:tcW w:w="1059" w:type="pct"/>
            <w:shd w:val="clear" w:color="auto" w:fill="auto"/>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с. Юманаи</w:t>
            </w:r>
          </w:p>
        </w:tc>
        <w:tc>
          <w:tcPr>
            <w:tcW w:w="1891" w:type="pct"/>
            <w:shd w:val="clear" w:color="auto" w:fill="auto"/>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w:t>
            </w:r>
          </w:p>
        </w:tc>
        <w:tc>
          <w:tcPr>
            <w:tcW w:w="2050" w:type="pct"/>
            <w:shd w:val="clear" w:color="auto" w:fill="auto"/>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Не действ.</w:t>
            </w:r>
          </w:p>
        </w:tc>
      </w:tr>
      <w:tr w:rsidR="00171D1D" w:rsidRPr="00592BA7" w:rsidTr="00592BA7">
        <w:trPr>
          <w:trHeight w:val="77"/>
          <w:jc w:val="center"/>
        </w:trPr>
        <w:tc>
          <w:tcPr>
            <w:tcW w:w="1059" w:type="pct"/>
            <w:shd w:val="clear" w:color="auto" w:fill="auto"/>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val="en-US" w:eastAsia="ru-RU"/>
              </w:rPr>
              <w:t>c</w:t>
            </w:r>
            <w:r w:rsidRPr="00592BA7">
              <w:rPr>
                <w:rFonts w:ascii="Times New Roman" w:hAnsi="Times New Roman" w:cs="Times New Roman"/>
                <w:sz w:val="20"/>
                <w:szCs w:val="20"/>
                <w:lang w:eastAsia="ru-RU"/>
              </w:rPr>
              <w:t>. Ниж. Кумашка</w:t>
            </w:r>
          </w:p>
        </w:tc>
        <w:tc>
          <w:tcPr>
            <w:tcW w:w="1891" w:type="pct"/>
            <w:shd w:val="clear" w:color="auto" w:fill="auto"/>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w:t>
            </w:r>
          </w:p>
        </w:tc>
        <w:tc>
          <w:tcPr>
            <w:tcW w:w="2050" w:type="pct"/>
            <w:shd w:val="clear" w:color="auto" w:fill="auto"/>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Септик</w:t>
            </w:r>
          </w:p>
        </w:tc>
      </w:tr>
    </w:tbl>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МУП «Юманайское ЖКХ» обслуживает систему водоотведения на основании договора хозяйственного ведения от 21.06.2022.</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В муниципальном округе договоры водоотведения заключаются с абонентами: собственниками помещений в многоквартирных жилых домах, нанимателями помещений в многоквартирных жилых домах, собственниками индивидуальных жилых домов, предприятиями. Договоры на услугу водоотведения заключаются в соответствии с требованиями, относящимися к публичным договорам и договорам энергоснабжения (статьи 426, 539 - 548 Гражданского кодекса Российской Федерации).</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Описание территорий, не охваченных централизованными системами водоснабжения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На территории Шумерлинского муниципального округа централизованная система бытовой канализации отсутствует. В населенных пунктах, не обеспеченных системой канализации преобладающее место отведено выгребным ямам и септикам.</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3.5.2. Анализ существующего технического состояния системы водоотведения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3.5.2.1. Анализ эффективности и надежности имеющихся источников водоотведения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Площадные объекты</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Сточные воды от жилых домов и общественных зданий отводятся системой самотечных коллекторов на рельеф местности без водочистки. </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Общая протяженность канализационных сетей Шумерлинского муниципального округа составляет 6,435 км.</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Техническое состояние системы водоотведения характеризуется большой степенью износа сетей до 100% и сооружений и оценивается как удовлетворительное.</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Ливневая канализация на территории Шумерлинского муниципального округа отсутствует. Отвод дождевых и талых вод не регулируется и осуществляется в пониженные места существующего рельефа.</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Часть жилищного фонда не имеют системы централизованного водоотведения. Накопление бытовых стоков производится в индивидуальные септики и выгреба. Большая часть населения использует выгребные ямы, не соответствующие требованиям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(не водонепроницаемые), что систематически загрязняет водоносные горизонты.</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Сброс сточных вод без выполнения надлежащей очистки представляет серьезную угрозу для экологии окружающей среды и для населения Шумерлинского муниципального округа.</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Качество эксплуатации, наладки и ремонтов</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На территории Шумерлинского муниципального округа отсутствуют действующие канализационные очистные сооружения. </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Износ канализационных сетей 100 %.</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Данные по анализу сточных вод отсутствуют.</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Системы учета ресурсов</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В настоящее время коммерческий учет принимаемых сточных вод от потребителей осуществляется в соответствии с действующим законодательством, количество принятых сточных вод принимается равным количеству потребленной воды. Доля объемов сточных вод, рассчитанная данным способом, составляет 100%. Приборы учета фактического объема сточных вод не установлены.</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Расход ресурсов</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На территории Шумерлинского муниципального округа централизованная система водоотведения отсутствует. В населенных пунктах отвод сточных вод осуществляется в выгребные ямы, надворные туалеты с последующим сбросом на рельеф.</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Принимаем количество бытовых сточных вод, близких по составу к бытовым, подлежащих отведению и биологической очистке в населенных пунктах, не оборудованных централизованной канализационной системой – 100% от водопотребления.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Информация о балансах поступления сточных вод за прошедшие годы отсутствует, проведение ретроспективного анализа не представляется возможным.</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Проблемы </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Существующие технические и технологические проблемы водоотведения: </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 небольшой процент населения, обеспеченного системой централизованной канализации; </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 неконтролируемый сброс в водные источники неочищенных дождевых и талых вод, в связи с отсутствием во многих населенных пунктах централизованной системы дождевой канализации и очистных сооружений поверхностного стока; </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 отсутствие данных лабораторных анализов качества очистки сточных вод; </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отсутствие очистных сооружений хозяйственно-бытовой канализации.</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Направления решения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приведение качества сбрасываемых сточных вод в соответствии с установленными требованиями в д. Шумерля, п. Кабаново, с. Большие Алгаши, с. Русские Алгаши, д. Чувашские Алгаши, п. Мыслец, д. Нижняя Кумашка, д. Петропавловск, д. Торханы, д. Чертаганы, д. Малые Туваны, с. Туваны, с. Ходары, д. Егоркино, с. Юманаи, д. Кадеркино;</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строительство КОС в с. Юманаи;</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 </w:t>
      </w:r>
      <w:r w:rsidRPr="00592BA7">
        <w:rPr>
          <w:rFonts w:ascii="Times New Roman" w:hAnsi="Times New Roman" w:cs="Times New Roman"/>
          <w:sz w:val="20"/>
          <w:szCs w:val="20"/>
          <w:lang w:eastAsia="ru-RU"/>
        </w:rPr>
        <w:t>установка узлов учета принимаемых стоков на очистные сооружения.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3.5.2.2. Анализ эффективности и надежности имеющихся сетей, имеющиеся проблемы и направления их решения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Линейные объекты водоснабжения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Система бытовой канализации - самотечная. По самотечным трубопроводам канализации сточные воды отводятся на рельеф местности.</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Общая протяженность сетей хозяйственно-бытовой канализации составляет – 6,435 км.</w:t>
      </w:r>
    </w:p>
    <w:p w:rsidR="00171D1D" w:rsidRPr="00592BA7" w:rsidRDefault="00171D1D" w:rsidP="00592BA7">
      <w:pPr>
        <w:jc w:val="both"/>
        <w:rPr>
          <w:rFonts w:ascii="Times New Roman" w:hAnsi="Times New Roman" w:cs="Times New Roman"/>
          <w:sz w:val="20"/>
          <w:szCs w:val="20"/>
        </w:rPr>
      </w:pP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Таблица 3.5.2.2.1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91"/>
        <w:gridCol w:w="1608"/>
        <w:gridCol w:w="1007"/>
        <w:gridCol w:w="1082"/>
        <w:gridCol w:w="1462"/>
        <w:gridCol w:w="847"/>
        <w:gridCol w:w="1856"/>
      </w:tblGrid>
      <w:tr w:rsidR="00171D1D" w:rsidRPr="00592BA7" w:rsidTr="00592BA7">
        <w:trPr>
          <w:trHeight w:val="20"/>
        </w:trPr>
        <w:tc>
          <w:tcPr>
            <w:tcW w:w="1010" w:type="pct"/>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Наименование участка (населенного </w:t>
            </w:r>
            <w:r w:rsidRPr="00592BA7">
              <w:rPr>
                <w:rFonts w:ascii="Times New Roman" w:hAnsi="Times New Roman" w:cs="Times New Roman"/>
                <w:sz w:val="20"/>
                <w:szCs w:val="20"/>
                <w:lang w:eastAsia="ru-RU"/>
              </w:rPr>
              <w:lastRenderedPageBreak/>
              <w:t>пункта, улицы)</w:t>
            </w:r>
          </w:p>
        </w:tc>
        <w:tc>
          <w:tcPr>
            <w:tcW w:w="816" w:type="pct"/>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Протяженность, м</w:t>
            </w:r>
          </w:p>
        </w:tc>
        <w:tc>
          <w:tcPr>
            <w:tcW w:w="511" w:type="pct"/>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Диаметр, мм</w:t>
            </w:r>
          </w:p>
        </w:tc>
        <w:tc>
          <w:tcPr>
            <w:tcW w:w="549" w:type="pct"/>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Материал труб</w:t>
            </w:r>
          </w:p>
        </w:tc>
        <w:tc>
          <w:tcPr>
            <w:tcW w:w="742" w:type="pct"/>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Год ввода</w:t>
            </w:r>
          </w:p>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в </w:t>
            </w:r>
            <w:r w:rsidRPr="00592BA7">
              <w:rPr>
                <w:rFonts w:ascii="Times New Roman" w:hAnsi="Times New Roman" w:cs="Times New Roman"/>
                <w:sz w:val="20"/>
                <w:szCs w:val="20"/>
                <w:lang w:eastAsia="ru-RU"/>
              </w:rPr>
              <w:lastRenderedPageBreak/>
              <w:t>эксплуатацию</w:t>
            </w:r>
          </w:p>
        </w:tc>
        <w:tc>
          <w:tcPr>
            <w:tcW w:w="430" w:type="pct"/>
            <w:shd w:val="clear" w:color="auto" w:fill="auto"/>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Износ %</w:t>
            </w:r>
          </w:p>
        </w:tc>
        <w:tc>
          <w:tcPr>
            <w:tcW w:w="942" w:type="pct"/>
            <w:shd w:val="clear" w:color="auto" w:fill="auto"/>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Балансодержатель</w:t>
            </w:r>
          </w:p>
        </w:tc>
      </w:tr>
      <w:tr w:rsidR="00171D1D" w:rsidRPr="00592BA7" w:rsidTr="00592BA7">
        <w:trPr>
          <w:trHeight w:val="20"/>
        </w:trPr>
        <w:tc>
          <w:tcPr>
            <w:tcW w:w="1010" w:type="pct"/>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с. Бол. Алгаши</w:t>
            </w:r>
          </w:p>
        </w:tc>
        <w:tc>
          <w:tcPr>
            <w:tcW w:w="816" w:type="pct"/>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0,654</w:t>
            </w:r>
          </w:p>
        </w:tc>
        <w:tc>
          <w:tcPr>
            <w:tcW w:w="511" w:type="pct"/>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н/д</w:t>
            </w:r>
          </w:p>
        </w:tc>
        <w:tc>
          <w:tcPr>
            <w:tcW w:w="549" w:type="pct"/>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н/д</w:t>
            </w:r>
          </w:p>
        </w:tc>
        <w:tc>
          <w:tcPr>
            <w:tcW w:w="742" w:type="pct"/>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1985</w:t>
            </w:r>
          </w:p>
        </w:tc>
        <w:tc>
          <w:tcPr>
            <w:tcW w:w="430" w:type="pct"/>
            <w:shd w:val="clear" w:color="auto" w:fill="auto"/>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н/д</w:t>
            </w:r>
          </w:p>
        </w:tc>
        <w:tc>
          <w:tcPr>
            <w:tcW w:w="942" w:type="pct"/>
            <w:shd w:val="clear" w:color="auto" w:fill="auto"/>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МУП «ЮЖКХ»</w:t>
            </w:r>
          </w:p>
        </w:tc>
      </w:tr>
      <w:tr w:rsidR="00171D1D" w:rsidRPr="00592BA7" w:rsidTr="00592BA7">
        <w:trPr>
          <w:trHeight w:val="20"/>
        </w:trPr>
        <w:tc>
          <w:tcPr>
            <w:tcW w:w="1010" w:type="pct"/>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с. Русс Алгаши</w:t>
            </w:r>
          </w:p>
        </w:tc>
        <w:tc>
          <w:tcPr>
            <w:tcW w:w="816" w:type="pct"/>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1,67</w:t>
            </w:r>
          </w:p>
        </w:tc>
        <w:tc>
          <w:tcPr>
            <w:tcW w:w="511" w:type="pct"/>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н/д</w:t>
            </w:r>
          </w:p>
        </w:tc>
        <w:tc>
          <w:tcPr>
            <w:tcW w:w="549" w:type="pct"/>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н/д</w:t>
            </w:r>
          </w:p>
        </w:tc>
        <w:tc>
          <w:tcPr>
            <w:tcW w:w="742" w:type="pct"/>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1989</w:t>
            </w:r>
          </w:p>
        </w:tc>
        <w:tc>
          <w:tcPr>
            <w:tcW w:w="430" w:type="pct"/>
            <w:shd w:val="clear" w:color="auto" w:fill="auto"/>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н/д</w:t>
            </w:r>
          </w:p>
        </w:tc>
        <w:tc>
          <w:tcPr>
            <w:tcW w:w="942"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МУП «ЮЖКХ»</w:t>
            </w:r>
          </w:p>
        </w:tc>
      </w:tr>
      <w:tr w:rsidR="00171D1D" w:rsidRPr="00592BA7" w:rsidTr="00592BA7">
        <w:trPr>
          <w:trHeight w:val="20"/>
        </w:trPr>
        <w:tc>
          <w:tcPr>
            <w:tcW w:w="1010" w:type="pct"/>
            <w:shd w:val="clear" w:color="auto" w:fill="auto"/>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с. Ходары</w:t>
            </w:r>
          </w:p>
        </w:tc>
        <w:tc>
          <w:tcPr>
            <w:tcW w:w="816" w:type="pct"/>
            <w:shd w:val="clear" w:color="auto" w:fill="auto"/>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2,836</w:t>
            </w:r>
          </w:p>
        </w:tc>
        <w:tc>
          <w:tcPr>
            <w:tcW w:w="511" w:type="pct"/>
            <w:shd w:val="clear" w:color="auto" w:fill="auto"/>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н/д</w:t>
            </w:r>
          </w:p>
        </w:tc>
        <w:tc>
          <w:tcPr>
            <w:tcW w:w="549" w:type="pct"/>
            <w:shd w:val="clear" w:color="auto" w:fill="auto"/>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н/д</w:t>
            </w:r>
          </w:p>
        </w:tc>
        <w:tc>
          <w:tcPr>
            <w:tcW w:w="742" w:type="pct"/>
            <w:shd w:val="clear" w:color="auto" w:fill="auto"/>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1985</w:t>
            </w:r>
          </w:p>
        </w:tc>
        <w:tc>
          <w:tcPr>
            <w:tcW w:w="430" w:type="pct"/>
            <w:shd w:val="clear" w:color="auto" w:fill="auto"/>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100</w:t>
            </w:r>
          </w:p>
        </w:tc>
        <w:tc>
          <w:tcPr>
            <w:tcW w:w="942"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МУП «ЮЖКХ»</w:t>
            </w:r>
          </w:p>
        </w:tc>
      </w:tr>
      <w:tr w:rsidR="00171D1D" w:rsidRPr="00592BA7" w:rsidTr="00592BA7">
        <w:trPr>
          <w:trHeight w:val="20"/>
        </w:trPr>
        <w:tc>
          <w:tcPr>
            <w:tcW w:w="1010" w:type="pct"/>
            <w:shd w:val="clear" w:color="auto" w:fill="auto"/>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с. Юманаи</w:t>
            </w:r>
          </w:p>
        </w:tc>
        <w:tc>
          <w:tcPr>
            <w:tcW w:w="816" w:type="pct"/>
            <w:shd w:val="clear" w:color="auto" w:fill="auto"/>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1,275</w:t>
            </w:r>
          </w:p>
        </w:tc>
        <w:tc>
          <w:tcPr>
            <w:tcW w:w="511" w:type="pct"/>
            <w:shd w:val="clear" w:color="auto" w:fill="auto"/>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н/д</w:t>
            </w:r>
          </w:p>
        </w:tc>
        <w:tc>
          <w:tcPr>
            <w:tcW w:w="549" w:type="pct"/>
            <w:shd w:val="clear" w:color="auto" w:fill="auto"/>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н/д</w:t>
            </w:r>
          </w:p>
        </w:tc>
        <w:tc>
          <w:tcPr>
            <w:tcW w:w="742" w:type="pct"/>
            <w:shd w:val="clear" w:color="auto" w:fill="auto"/>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1982</w:t>
            </w:r>
          </w:p>
        </w:tc>
        <w:tc>
          <w:tcPr>
            <w:tcW w:w="430" w:type="pct"/>
            <w:shd w:val="clear" w:color="auto" w:fill="auto"/>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н/д</w:t>
            </w:r>
          </w:p>
        </w:tc>
        <w:tc>
          <w:tcPr>
            <w:tcW w:w="942"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МУП «ЮЖКХ»</w:t>
            </w:r>
          </w:p>
        </w:tc>
      </w:tr>
    </w:tbl>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Резервирование</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Резервирование канализационных сетей отсутствует.</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Применяемые графики работы и их обоснованность</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Применяемый график работы системы водоотведения – круглосуточный. Обоснованность подобного графика работы объясняется выполнением требований бесперебойного отведения сточных вод от потребителей.</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Качество эксплуатации</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Охват населения централизованной системой водоотведения составляет 0%.</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Качество диспетчеризации</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Установка систем диспетчеризации, телемеханизации и автоматизированных системах управления режимами водоотведения имеет значительный технологический и экономический эффект. На данный момент наиболее актуальным является автоматизация и диспетчеризация канализационных насосных станций. </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Система диспетчеризации канализационно-насосных станций предназначена для автоматического, ручного или дистанционного управления оборудованием КНС, контроля состояния оборудования и технологических параметров с центрального (или локального) диспетчерского пункта посредством кабельной линии связи или GSM канала, а также трансляции основных параметров работы на удаленный пульт диспетчерской сигнализации. </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Система диспетчеризации КНС обеспечивает выполнение следующих функций: </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r w:rsidRPr="00592BA7">
        <w:rPr>
          <w:rFonts w:ascii="Times New Roman" w:hAnsi="Times New Roman" w:cs="Times New Roman"/>
          <w:sz w:val="20"/>
          <w:szCs w:val="20"/>
        </w:rPr>
        <w:tab/>
        <w:t xml:space="preserve">контроль состояния уровня стоков; </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r w:rsidRPr="00592BA7">
        <w:rPr>
          <w:rFonts w:ascii="Times New Roman" w:hAnsi="Times New Roman" w:cs="Times New Roman"/>
          <w:sz w:val="20"/>
          <w:szCs w:val="20"/>
        </w:rPr>
        <w:tab/>
        <w:t xml:space="preserve">автоматическое, ручное или дистанционное управление насосами КНС в соответствии с измеренным уровнем стоков и индивидуальными установками работы каждого насоса, при этом имеется возможность автоматической смены установок для соблюдения равномерности использования насосов; </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r w:rsidRPr="00592BA7">
        <w:rPr>
          <w:rFonts w:ascii="Times New Roman" w:hAnsi="Times New Roman" w:cs="Times New Roman"/>
          <w:sz w:val="20"/>
          <w:szCs w:val="20"/>
        </w:rPr>
        <w:tab/>
        <w:t xml:space="preserve">контроль уровня наполнения дренажного приямка и управление дренажным насосом; </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r w:rsidRPr="00592BA7">
        <w:rPr>
          <w:rFonts w:ascii="Times New Roman" w:hAnsi="Times New Roman" w:cs="Times New Roman"/>
          <w:sz w:val="20"/>
          <w:szCs w:val="20"/>
        </w:rPr>
        <w:tab/>
        <w:t xml:space="preserve">функцию пожарной сигнализации; </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r w:rsidRPr="00592BA7">
        <w:rPr>
          <w:rFonts w:ascii="Times New Roman" w:hAnsi="Times New Roman" w:cs="Times New Roman"/>
          <w:sz w:val="20"/>
          <w:szCs w:val="20"/>
        </w:rPr>
        <w:tab/>
        <w:t xml:space="preserve">функцию охранной сигнализации; </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r w:rsidRPr="00592BA7">
        <w:rPr>
          <w:rFonts w:ascii="Times New Roman" w:hAnsi="Times New Roman" w:cs="Times New Roman"/>
          <w:sz w:val="20"/>
          <w:szCs w:val="20"/>
        </w:rPr>
        <w:tab/>
        <w:t>включение звуковой и световой сигнализации при возникновении аварийных ситуаций;</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r w:rsidRPr="00592BA7">
        <w:rPr>
          <w:rFonts w:ascii="Times New Roman" w:hAnsi="Times New Roman" w:cs="Times New Roman"/>
          <w:sz w:val="20"/>
          <w:szCs w:val="20"/>
        </w:rPr>
        <w:tab/>
        <w:t>немедленную передачу аварийной информации на пульт диспетчерской сигнализации и в центральный диспетчерский пункт.</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В населенных пунктах Шумерлинского муниципального округа, где предусматривается дальнейшая модернизация и новое строительство системы централизованного водоотведения, необходимо предусмотреть внедрение системы телемеханики и автоматизированной системы управления технологическими процессами с реконструкцией КИП и А насосных станций и очистных сооружений.</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Проблемы:</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w:t>
      </w:r>
      <w:r w:rsidRPr="00592BA7">
        <w:rPr>
          <w:rFonts w:ascii="Times New Roman" w:hAnsi="Times New Roman" w:cs="Times New Roman"/>
          <w:sz w:val="20"/>
          <w:szCs w:val="20"/>
        </w:rPr>
        <w:tab/>
        <w:t>высокий износ сетей водоотведения на территории Шумерлинского муниципального округа.</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Требуемые мероприятия: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реконструкция канализационных коллекторов.</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3.5.2.3. Анализ зон действия объектов водоотведения и их рациональности, имеющиеся проблемы и направления их решения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Централизованная система водоотведения представляет собой сложную систему инженерных сооружений, надежная и эффективная работа которых является одной из важнейших составляющих благополучия поселения. По системе, состоящей из трубопроводов, каналов, коллекторов общей протяженностью 6,435 км отводятся самотёком на рельеф местности.</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В условиях экономии воды и ежегодного увеличения объемов водопотребления и водоотведения приоритетными направлениями развития системы водоотведения являются повышение качества очистки воды и надежности работы сетей и сооружений. Практика показывает, что трубопроводные сети являются, не только наиболее функционально значимым элементом системы канализации, но и наиболее уязвимым с точки зрения надежности. По-прежнему острой остается проблема износа канализационных сетей и очистных сооружений. Поэтому особое внимание необходимо уделить их реконструкции и модернизации. Наиболее экономичным решением является применение бестраншейных методов ремонта и восстановления трубопроводов. Освоен новый метод ремонта трубопроводов большого диаметра «труба в трубе», позволяющий вернуть в эксплуатацию потерявшие работоспособность трубопроводы, обеспечить им стабильную пропускную способность на длительный срок (50 лет и более). Для вновь прокладываемых участков канализационных трубопроводов наиболее надежным и долговечным материалом является полиэтилен. Этот материал выдерживает ударные нагрузки при резком изменении давления в трубопроводе, является стойким к электрохимической коррозии.</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При эксплуатации очистных сооружений канализации наиболее чувствительными к различным дестабилизирующим факторам являются сооружения биологической очистки.  Основные причины, приводящие к нарушению биохимических процессов при эксплуатации канализационных очистных сооружений: перебои в энергоснабжении; поступление токсичных веществ, ингибирующих процесс биологической очистки. Опыт эксплуатации сооружений в различных условиях позволяет оценить воздействие вышеперечисленных факторов и принять меры, обеспечивающие надежность работы очистных сооружений. Важным способом повышения надежности очистных сооружений (особенно в условиях экономии энергоресурсов) является внедрение автоматического регулирования технологического процесса.</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Реализуя комплекс мероприятий, направленных на повышение надежности системы водоотведения, обеспечена устойчивая работа систем канализации поселения.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Безопасность и надежность очистных сооружений обеспечивается: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r w:rsidRPr="00592BA7">
        <w:rPr>
          <w:rFonts w:ascii="Times New Roman" w:hAnsi="Times New Roman" w:cs="Times New Roman"/>
          <w:sz w:val="20"/>
          <w:szCs w:val="20"/>
        </w:rPr>
        <w:tab/>
        <w:t>строгим соблюдением технологических регламентов;</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r w:rsidRPr="00592BA7">
        <w:rPr>
          <w:rFonts w:ascii="Times New Roman" w:hAnsi="Times New Roman" w:cs="Times New Roman"/>
          <w:sz w:val="20"/>
          <w:szCs w:val="20"/>
        </w:rPr>
        <w:tab/>
        <w:t>регулярным обучением и повышением квалификации работников;</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r w:rsidRPr="00592BA7">
        <w:rPr>
          <w:rFonts w:ascii="Times New Roman" w:hAnsi="Times New Roman" w:cs="Times New Roman"/>
          <w:sz w:val="20"/>
          <w:szCs w:val="20"/>
        </w:rPr>
        <w:tab/>
        <w:t>контролем за ходом технологического процесса;</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r w:rsidRPr="00592BA7">
        <w:rPr>
          <w:rFonts w:ascii="Times New Roman" w:hAnsi="Times New Roman" w:cs="Times New Roman"/>
          <w:sz w:val="20"/>
          <w:szCs w:val="20"/>
        </w:rPr>
        <w:tab/>
        <w:t>регулярным мониторингом состояния вод, сбрасываемых в водоемы, с целью недопущения отклонений от установленных параметров;</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r w:rsidRPr="00592BA7">
        <w:rPr>
          <w:rFonts w:ascii="Times New Roman" w:hAnsi="Times New Roman" w:cs="Times New Roman"/>
          <w:sz w:val="20"/>
          <w:szCs w:val="20"/>
        </w:rPr>
        <w:tab/>
        <w:t>регулярным мониторингом существующих технологий очистки сточных вод;</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r w:rsidRPr="00592BA7">
        <w:rPr>
          <w:rFonts w:ascii="Times New Roman" w:hAnsi="Times New Roman" w:cs="Times New Roman"/>
          <w:sz w:val="20"/>
          <w:szCs w:val="20"/>
        </w:rPr>
        <w:tab/>
        <w:t>внедрением рационализаторских и инновационных предложений в части повышения эффективности очистки сточных вод, использования высушенного осадка сточных вод.</w:t>
      </w:r>
    </w:p>
    <w:p w:rsidR="00171D1D" w:rsidRPr="00592BA7" w:rsidRDefault="00171D1D" w:rsidP="00592BA7">
      <w:pPr>
        <w:jc w:val="both"/>
        <w:rPr>
          <w:rFonts w:ascii="Times New Roman" w:hAnsi="Times New Roman" w:cs="Times New Roman"/>
          <w:sz w:val="20"/>
          <w:szCs w:val="20"/>
        </w:rPr>
      </w:pP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3.5.2.4. Анализ имеющихся резервов и дефицитов мощности в системе водоотведения и ожидаемых резервов, и дефицитов</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Перспективная схема водоотведения учитывает развитие Шумерлинского муниципального округа, его первоочередную и перспективную застройки, исходя из увеличения степени благоустройства жилых зданий, развития производственных, рекреационных и общественно-деловых центров.</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Перспективная система водоотведения предусматривает строительство единой централизованной системы, в которую будут поступать хозяйственно- бытовые и промышленные стоки, прошедшие предварительную очистку на локальных очистных сооружениях до ПДК, допустимых к сбросу в сеть. Для поселения принята неполная раздельная система водоотведения с учетом рельефа местности.</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На территории Шумерлинского муниципального округа предлагается строительство очистных сооружений полной биологической очистки, строительство канализационных очистных сооружений полной биологической очистки с доочисткой сточных вод и механическим обезвоживанием осадка во всех бассейнах канализования, а также строительство компактных очистных сооружений биологической очистки малой производительности на площадках планируемой индивидуальной жилой застройки.</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Состав и характеристика, а также местоположение производственных объектов системы водоотведения определяются на последующих стадиях проектирования. Площадки планируемых объектов канализования, располагаемые рядом, следует объединять в единые системы хозяйственно- бытовой канализации.</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Для обеспечения отвода и очистки бытовых стоков на территории Шумерлинского муниципального округа предусматриваются следующие мероприятия: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r w:rsidRPr="00592BA7">
        <w:rPr>
          <w:rFonts w:ascii="Times New Roman" w:hAnsi="Times New Roman" w:cs="Times New Roman"/>
          <w:sz w:val="20"/>
          <w:szCs w:val="20"/>
        </w:rPr>
        <w:tab/>
        <w:t>для отвода бытовых сточных вод от зданий запроектировать самотечные сети канализации из асбестоцементных трубопроводов по ГОСТ 31416-2009 диаметром 150-300 мм или полиэтиленовых по ГОСТ 18599-2001. При перекачке сточных вод предусматривать напорные сети канализации из напорных полиэтиленовых трубопроводов по ГОСТ 18599-2001 диаметром 63- 75-90 мм. На сети самотечной канализации устраиваются смотровые железобетонные колодцы на расстоянии 35-50 метров в зависимости от диаметра трубопроводов. При сбросе сточных вод из напорных трубопроводов в самотечные коллекторы устраиваются колодцы-гасители напора;</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r w:rsidRPr="00592BA7">
        <w:rPr>
          <w:rFonts w:ascii="Times New Roman" w:hAnsi="Times New Roman" w:cs="Times New Roman"/>
          <w:sz w:val="20"/>
          <w:szCs w:val="20"/>
        </w:rPr>
        <w:tab/>
        <w:t>при выборе площадок под размещение новых сооружений обеспечить соблюдение санитарно-защитных зон от них в соответствии с СанПиН 2.2.1/2.1.1.1200-03 «Санитарно-защитные зоны и санитарная классификация предприятий, сооружений и иных объектов» и учесть наличие согласованных мест выпуска очищенных стоков;</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r w:rsidRPr="00592BA7">
        <w:rPr>
          <w:rFonts w:ascii="Times New Roman" w:hAnsi="Times New Roman" w:cs="Times New Roman"/>
          <w:sz w:val="20"/>
          <w:szCs w:val="20"/>
        </w:rPr>
        <w:tab/>
        <w:t>общественная и усадебная застройка проектируется с централизованным водоснабжением, в поселении подключена к существующим очистным сооружениям биологической очистки;</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r w:rsidRPr="00592BA7">
        <w:rPr>
          <w:rFonts w:ascii="Times New Roman" w:hAnsi="Times New Roman" w:cs="Times New Roman"/>
          <w:sz w:val="20"/>
          <w:szCs w:val="20"/>
        </w:rPr>
        <w:tab/>
        <w:t>утилизация образующегося осадка на площадках канализационных очистных сооружений;</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r w:rsidRPr="00592BA7">
        <w:rPr>
          <w:rFonts w:ascii="Times New Roman" w:hAnsi="Times New Roman" w:cs="Times New Roman"/>
          <w:sz w:val="20"/>
          <w:szCs w:val="20"/>
        </w:rPr>
        <w:tab/>
        <w:t>подключение всей существующей и планируемой застройки к очистным сооружениям путем строительства самотечных сетей канализации.</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3.4.2.5. Анализ показателей готовности системы водоотведения, имеющиеся проблемы и направления их решения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На территории Шумерлинского муниципального округа централизованная система водоотведения отсутствует. В населенных пунктах отвод сточных вод осуществляется в выгребные ямы, надворные туалеты с последующим сбросом на рельеф.</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Канализационные очистные сооружения.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отсутствуют.</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Канализационная насосная станция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 отсутствуют.</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3.4.2.6. Воздействие на окружающую среду, имеющиеся проблемы и направления их решения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На территории Шумерлинского муниципального округа централизованная система водоотведения отсутствует. В населенных пунктах отвод сточных вод осуществляется в выгребные ямы, надворные туалеты с последующим сбросом на рельеф. </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Сброс неочищенных сточных вод на рельеф и в водные объекты оказывает негативное воздействие на окружающую среду, на физические и химические свойства воды на водосборных площадях, увеличивается содержание вредных веществ органического и неорганического происхождения, токсичных веществ, болезнетворных бактерий и тяжелых металлов, а также является фактором возникновения риска заболеваемости населения.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Сброс неочищенных стоков наносит вред животному и растительному миру и приводит к одному из наиболее опасных видов деградации водосборных площадей.</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Значительные территории Шумерлинского муниципального округа не имеют централизованной системы водоотведения хозяйственно - бытовых стоков, системы ливневой канализации, поэтому применяются выгребные ямы и септики. В связи с этим, возможно загрязнение поверхностных и подземных вод, почв, нет возможности организовать учет количества стоков. </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На территории Шумерлинского муниципального округа отсутствуют очистные сооружения канализации.</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3.4.3. Анализ финансового состояния организаций коммунального комплекса, тарифов на коммунальные ресурсы</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Таблица 3.4.3.1</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Утвержденные тарифы в сфере водоотведения</w:t>
      </w:r>
    </w:p>
    <w:tbl>
      <w:tblPr>
        <w:tblW w:w="5000" w:type="pct"/>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74"/>
        <w:gridCol w:w="1297"/>
        <w:gridCol w:w="1509"/>
        <w:gridCol w:w="1441"/>
        <w:gridCol w:w="1732"/>
      </w:tblGrid>
      <w:tr w:rsidR="00171D1D" w:rsidRPr="00592BA7" w:rsidTr="00592BA7">
        <w:trPr>
          <w:trHeight w:val="315"/>
        </w:trPr>
        <w:tc>
          <w:tcPr>
            <w:tcW w:w="1966" w:type="pct"/>
            <w:shd w:val="clear" w:color="auto" w:fill="auto"/>
            <w:noWrap/>
            <w:vAlign w:val="bottom"/>
            <w:hideMark/>
          </w:tcPr>
          <w:p w:rsidR="00171D1D" w:rsidRPr="00592BA7" w:rsidRDefault="00171D1D" w:rsidP="00592BA7">
            <w:pPr>
              <w:jc w:val="both"/>
              <w:rPr>
                <w:rFonts w:ascii="Times New Roman" w:hAnsi="Times New Roman" w:cs="Times New Roman"/>
                <w:sz w:val="20"/>
                <w:szCs w:val="20"/>
                <w:lang w:eastAsia="ru-RU"/>
              </w:rPr>
            </w:pPr>
          </w:p>
        </w:tc>
        <w:tc>
          <w:tcPr>
            <w:tcW w:w="3034" w:type="pct"/>
            <w:gridSpan w:val="4"/>
            <w:shd w:val="clear" w:color="auto" w:fill="auto"/>
            <w:vAlign w:val="bottom"/>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руб./ 1 куб.метр </w:t>
            </w:r>
          </w:p>
        </w:tc>
      </w:tr>
      <w:tr w:rsidR="00171D1D" w:rsidRPr="00592BA7" w:rsidTr="00592BA7">
        <w:trPr>
          <w:trHeight w:val="600"/>
        </w:trPr>
        <w:tc>
          <w:tcPr>
            <w:tcW w:w="1966" w:type="pct"/>
            <w:vMerge w:val="restart"/>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Наименование регулируемой организации</w:t>
            </w:r>
          </w:p>
        </w:tc>
        <w:tc>
          <w:tcPr>
            <w:tcW w:w="658" w:type="pct"/>
            <w:vMerge w:val="restart"/>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Тарифы на 31.12.2023</w:t>
            </w:r>
          </w:p>
        </w:tc>
        <w:tc>
          <w:tcPr>
            <w:tcW w:w="766" w:type="pct"/>
            <w:vMerge w:val="restart"/>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Тарифы с 01.01.2024 по 30.06.2024</w:t>
            </w:r>
          </w:p>
        </w:tc>
        <w:tc>
          <w:tcPr>
            <w:tcW w:w="731" w:type="pct"/>
            <w:vMerge w:val="restart"/>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Тарифы с 01.07.2024 по 31.12.2024</w:t>
            </w:r>
          </w:p>
        </w:tc>
        <w:tc>
          <w:tcPr>
            <w:tcW w:w="879" w:type="pct"/>
            <w:vMerge w:val="restart"/>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Изменение тарифа с 01.07.2024 к 31.12.2023, в %</w:t>
            </w:r>
          </w:p>
        </w:tc>
      </w:tr>
      <w:tr w:rsidR="00171D1D" w:rsidRPr="00592BA7" w:rsidTr="00592BA7">
        <w:trPr>
          <w:trHeight w:val="517"/>
        </w:trPr>
        <w:tc>
          <w:tcPr>
            <w:tcW w:w="1966" w:type="pct"/>
            <w:vMerge/>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658" w:type="pct"/>
            <w:vMerge/>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766" w:type="pct"/>
            <w:vMerge/>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731" w:type="pct"/>
            <w:vMerge/>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79" w:type="pct"/>
            <w:vMerge/>
            <w:vAlign w:val="center"/>
            <w:hideMark/>
          </w:tcPr>
          <w:p w:rsidR="00171D1D" w:rsidRPr="00592BA7" w:rsidRDefault="00171D1D" w:rsidP="00592BA7">
            <w:pPr>
              <w:jc w:val="both"/>
              <w:rPr>
                <w:rFonts w:ascii="Times New Roman" w:hAnsi="Times New Roman" w:cs="Times New Roman"/>
                <w:sz w:val="20"/>
                <w:szCs w:val="20"/>
                <w:lang w:eastAsia="ru-RU"/>
              </w:rPr>
            </w:pPr>
          </w:p>
        </w:tc>
      </w:tr>
      <w:tr w:rsidR="00171D1D" w:rsidRPr="00592BA7" w:rsidTr="00592BA7">
        <w:trPr>
          <w:trHeight w:val="300"/>
        </w:trPr>
        <w:tc>
          <w:tcPr>
            <w:tcW w:w="1966" w:type="pct"/>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МУП «Юманайское ЖКХ»</w:t>
            </w:r>
          </w:p>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rPr>
              <w:t xml:space="preserve"> </w:t>
            </w:r>
            <w:r w:rsidRPr="00592BA7">
              <w:rPr>
                <w:rFonts w:ascii="Times New Roman" w:hAnsi="Times New Roman" w:cs="Times New Roman"/>
                <w:sz w:val="20"/>
                <w:szCs w:val="20"/>
                <w:lang w:eastAsia="ru-RU"/>
              </w:rPr>
              <w:t>(без доп. НДС)</w:t>
            </w:r>
          </w:p>
        </w:tc>
        <w:tc>
          <w:tcPr>
            <w:tcW w:w="658" w:type="pct"/>
            <w:shd w:val="clear" w:color="auto" w:fill="auto"/>
            <w:noWrap/>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26,90</w:t>
            </w:r>
          </w:p>
        </w:tc>
        <w:tc>
          <w:tcPr>
            <w:tcW w:w="766" w:type="pct"/>
            <w:shd w:val="clear" w:color="auto" w:fill="auto"/>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26,90</w:t>
            </w:r>
          </w:p>
        </w:tc>
        <w:tc>
          <w:tcPr>
            <w:tcW w:w="731" w:type="pct"/>
            <w:shd w:val="clear" w:color="auto" w:fill="auto"/>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27,29</w:t>
            </w:r>
          </w:p>
        </w:tc>
        <w:tc>
          <w:tcPr>
            <w:tcW w:w="879" w:type="pct"/>
            <w:shd w:val="clear" w:color="auto" w:fill="auto"/>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101,4</w:t>
            </w:r>
          </w:p>
        </w:tc>
      </w:tr>
    </w:tbl>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Действующие нормативы водоотведения утверждены Постановлением Кабинетом министров Чувашской Республики от 4 сентября 2012 года N 370 «Об утверждении нормативов потребления коммунальных услуг по холодному и горячему водоснабжению, водоотведению и нормативов потребления холодной воды, горячей воды, отведения сточных вод в целях содержания общего имущества в многоквартирном доме на территории Чувашской Республики».</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Удельное среднесуточное водоотведение населенных пунктов и комплексов отдыха принимается в соответствии с ВСН 23-75, нормативов государственных социальных стандартов и приведено в таблице 3.4.3.2.</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Таблица 3.4.3.2</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81"/>
        <w:gridCol w:w="2034"/>
        <w:gridCol w:w="2438"/>
      </w:tblGrid>
      <w:tr w:rsidR="00171D1D" w:rsidRPr="00592BA7" w:rsidTr="00592BA7">
        <w:trPr>
          <w:tblHeader/>
          <w:jc w:val="center"/>
        </w:trPr>
        <w:tc>
          <w:tcPr>
            <w:tcW w:w="2731"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Потребители</w:t>
            </w:r>
          </w:p>
        </w:tc>
        <w:tc>
          <w:tcPr>
            <w:tcW w:w="1032"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Единица измерения</w:t>
            </w:r>
          </w:p>
        </w:tc>
        <w:tc>
          <w:tcPr>
            <w:tcW w:w="1237"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Удельное водоотведение</w:t>
            </w:r>
          </w:p>
        </w:tc>
      </w:tr>
      <w:tr w:rsidR="00171D1D" w:rsidRPr="00592BA7" w:rsidTr="00592BA7">
        <w:trPr>
          <w:jc w:val="center"/>
        </w:trPr>
        <w:tc>
          <w:tcPr>
            <w:tcW w:w="2731"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Рабочие поселки</w:t>
            </w:r>
          </w:p>
        </w:tc>
        <w:tc>
          <w:tcPr>
            <w:tcW w:w="1032"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л/сут. на 1 человека</w:t>
            </w:r>
          </w:p>
        </w:tc>
        <w:tc>
          <w:tcPr>
            <w:tcW w:w="1237"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225</w:t>
            </w:r>
          </w:p>
        </w:tc>
      </w:tr>
      <w:tr w:rsidR="00171D1D" w:rsidRPr="00592BA7" w:rsidTr="00592BA7">
        <w:trPr>
          <w:jc w:val="center"/>
        </w:trPr>
        <w:tc>
          <w:tcPr>
            <w:tcW w:w="2731"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Поселения </w:t>
            </w:r>
            <w:r w:rsidRPr="00592BA7">
              <w:rPr>
                <w:rFonts w:ascii="Times New Roman" w:hAnsi="Times New Roman" w:cs="Times New Roman"/>
                <w:sz w:val="20"/>
                <w:szCs w:val="20"/>
                <w:lang w:val="en-US"/>
              </w:rPr>
              <w:t>I</w:t>
            </w:r>
            <w:r w:rsidRPr="00592BA7">
              <w:rPr>
                <w:rFonts w:ascii="Times New Roman" w:hAnsi="Times New Roman" w:cs="Times New Roman"/>
                <w:sz w:val="20"/>
                <w:szCs w:val="20"/>
              </w:rPr>
              <w:t xml:space="preserve"> и </w:t>
            </w:r>
            <w:r w:rsidRPr="00592BA7">
              <w:rPr>
                <w:rFonts w:ascii="Times New Roman" w:hAnsi="Times New Roman" w:cs="Times New Roman"/>
                <w:sz w:val="20"/>
                <w:szCs w:val="20"/>
                <w:lang w:val="en-US"/>
              </w:rPr>
              <w:t>II</w:t>
            </w:r>
            <w:r w:rsidRPr="00592BA7">
              <w:rPr>
                <w:rFonts w:ascii="Times New Roman" w:hAnsi="Times New Roman" w:cs="Times New Roman"/>
                <w:sz w:val="20"/>
                <w:szCs w:val="20"/>
              </w:rPr>
              <w:t xml:space="preserve"> типов</w:t>
            </w:r>
          </w:p>
        </w:tc>
        <w:tc>
          <w:tcPr>
            <w:tcW w:w="1032"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л/сут. на 1 человека</w:t>
            </w:r>
          </w:p>
        </w:tc>
        <w:tc>
          <w:tcPr>
            <w:tcW w:w="1237"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200</w:t>
            </w:r>
          </w:p>
        </w:tc>
      </w:tr>
      <w:tr w:rsidR="00171D1D" w:rsidRPr="00592BA7" w:rsidTr="00592BA7">
        <w:trPr>
          <w:jc w:val="center"/>
        </w:trPr>
        <w:tc>
          <w:tcPr>
            <w:tcW w:w="2731"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 xml:space="preserve">Поселения </w:t>
            </w:r>
            <w:r w:rsidRPr="00592BA7">
              <w:rPr>
                <w:rFonts w:ascii="Times New Roman" w:hAnsi="Times New Roman" w:cs="Times New Roman"/>
                <w:sz w:val="20"/>
                <w:szCs w:val="20"/>
                <w:lang w:val="en-US"/>
              </w:rPr>
              <w:t>III</w:t>
            </w:r>
            <w:r w:rsidRPr="00592BA7">
              <w:rPr>
                <w:rFonts w:ascii="Times New Roman" w:hAnsi="Times New Roman" w:cs="Times New Roman"/>
                <w:sz w:val="20"/>
                <w:szCs w:val="20"/>
              </w:rPr>
              <w:t xml:space="preserve"> типа</w:t>
            </w:r>
          </w:p>
        </w:tc>
        <w:tc>
          <w:tcPr>
            <w:tcW w:w="1032"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л/сут. на 1 человека</w:t>
            </w:r>
          </w:p>
        </w:tc>
        <w:tc>
          <w:tcPr>
            <w:tcW w:w="1237"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120</w:t>
            </w:r>
          </w:p>
        </w:tc>
      </w:tr>
      <w:tr w:rsidR="00171D1D" w:rsidRPr="00592BA7" w:rsidTr="00592BA7">
        <w:trPr>
          <w:jc w:val="center"/>
        </w:trPr>
        <w:tc>
          <w:tcPr>
            <w:tcW w:w="2731"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Рядовые поселения</w:t>
            </w:r>
          </w:p>
        </w:tc>
        <w:tc>
          <w:tcPr>
            <w:tcW w:w="1032"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л/сут. на 1 человека</w:t>
            </w:r>
          </w:p>
        </w:tc>
        <w:tc>
          <w:tcPr>
            <w:tcW w:w="1237"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25-70</w:t>
            </w:r>
          </w:p>
        </w:tc>
      </w:tr>
      <w:tr w:rsidR="00171D1D" w:rsidRPr="00592BA7" w:rsidTr="00592BA7">
        <w:trPr>
          <w:jc w:val="center"/>
        </w:trPr>
        <w:tc>
          <w:tcPr>
            <w:tcW w:w="2731"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Учреждения отдыха:</w:t>
            </w:r>
          </w:p>
        </w:tc>
        <w:tc>
          <w:tcPr>
            <w:tcW w:w="1032" w:type="pct"/>
            <w:vAlign w:val="center"/>
          </w:tcPr>
          <w:p w:rsidR="00171D1D" w:rsidRPr="00592BA7" w:rsidRDefault="00171D1D" w:rsidP="00592BA7">
            <w:pPr>
              <w:jc w:val="both"/>
              <w:rPr>
                <w:rFonts w:ascii="Times New Roman" w:hAnsi="Times New Roman" w:cs="Times New Roman"/>
                <w:sz w:val="20"/>
                <w:szCs w:val="20"/>
              </w:rPr>
            </w:pPr>
          </w:p>
        </w:tc>
        <w:tc>
          <w:tcPr>
            <w:tcW w:w="1237" w:type="pct"/>
            <w:vAlign w:val="center"/>
          </w:tcPr>
          <w:p w:rsidR="00171D1D" w:rsidRPr="00592BA7" w:rsidRDefault="00171D1D" w:rsidP="00592BA7">
            <w:pPr>
              <w:jc w:val="both"/>
              <w:rPr>
                <w:rFonts w:ascii="Times New Roman" w:hAnsi="Times New Roman" w:cs="Times New Roman"/>
                <w:sz w:val="20"/>
                <w:szCs w:val="20"/>
              </w:rPr>
            </w:pPr>
          </w:p>
        </w:tc>
      </w:tr>
      <w:tr w:rsidR="00171D1D" w:rsidRPr="00592BA7" w:rsidTr="00592BA7">
        <w:trPr>
          <w:jc w:val="center"/>
        </w:trPr>
        <w:tc>
          <w:tcPr>
            <w:tcW w:w="2731"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санатории</w:t>
            </w:r>
          </w:p>
        </w:tc>
        <w:tc>
          <w:tcPr>
            <w:tcW w:w="1032"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л/сут. на 1 человека</w:t>
            </w:r>
          </w:p>
        </w:tc>
        <w:tc>
          <w:tcPr>
            <w:tcW w:w="1237"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280</w:t>
            </w:r>
          </w:p>
        </w:tc>
      </w:tr>
      <w:tr w:rsidR="00171D1D" w:rsidRPr="00592BA7" w:rsidTr="00592BA7">
        <w:trPr>
          <w:jc w:val="center"/>
        </w:trPr>
        <w:tc>
          <w:tcPr>
            <w:tcW w:w="2731"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детский отдых</w:t>
            </w:r>
          </w:p>
        </w:tc>
        <w:tc>
          <w:tcPr>
            <w:tcW w:w="1032"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л/сут. на 1 человека</w:t>
            </w:r>
          </w:p>
        </w:tc>
        <w:tc>
          <w:tcPr>
            <w:tcW w:w="1237"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160</w:t>
            </w:r>
          </w:p>
        </w:tc>
      </w:tr>
      <w:tr w:rsidR="00171D1D" w:rsidRPr="00592BA7" w:rsidTr="00592BA7">
        <w:trPr>
          <w:jc w:val="center"/>
        </w:trPr>
        <w:tc>
          <w:tcPr>
            <w:tcW w:w="2731"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кратковременный отдых</w:t>
            </w:r>
          </w:p>
        </w:tc>
        <w:tc>
          <w:tcPr>
            <w:tcW w:w="1032"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л/сут. на 1 человека</w:t>
            </w:r>
          </w:p>
        </w:tc>
        <w:tc>
          <w:tcPr>
            <w:tcW w:w="1237"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8</w:t>
            </w:r>
          </w:p>
        </w:tc>
      </w:tr>
    </w:tbl>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3.6. Система по обращению твердых коммунальных отходов</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3.6.1. Описание организационной структуры, формы собственности и системы договоров между организациями, а также с потребителями</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Таблица 3.6.1.1</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Перечень организаций, занятых в области обращения с ТКО в Шумерлинском муниципальном округе</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04"/>
        <w:gridCol w:w="2386"/>
        <w:gridCol w:w="3563"/>
      </w:tblGrid>
      <w:tr w:rsidR="00171D1D" w:rsidRPr="00592BA7" w:rsidTr="00592BA7">
        <w:trPr>
          <w:trHeight w:val="20"/>
          <w:jc w:val="center"/>
        </w:trPr>
        <w:tc>
          <w:tcPr>
            <w:tcW w:w="1981" w:type="pct"/>
            <w:shd w:val="clear" w:color="auto" w:fill="auto"/>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Наименование ЮЛ/ИП, обслуживающего объекты</w:t>
            </w:r>
          </w:p>
        </w:tc>
        <w:tc>
          <w:tcPr>
            <w:tcW w:w="1211" w:type="pct"/>
            <w:shd w:val="clear" w:color="auto" w:fill="auto"/>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Номер, дата выдачи лицензии</w:t>
            </w:r>
          </w:p>
        </w:tc>
        <w:tc>
          <w:tcPr>
            <w:tcW w:w="1808" w:type="pct"/>
            <w:shd w:val="clear" w:color="auto" w:fill="auto"/>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Осуществляемый вид деятельности в МО</w:t>
            </w:r>
          </w:p>
        </w:tc>
      </w:tr>
      <w:tr w:rsidR="00171D1D" w:rsidRPr="00592BA7" w:rsidTr="00592BA7">
        <w:trPr>
          <w:trHeight w:val="20"/>
          <w:jc w:val="center"/>
        </w:trPr>
        <w:tc>
          <w:tcPr>
            <w:tcW w:w="1981" w:type="pct"/>
            <w:shd w:val="clear" w:color="auto" w:fill="auto"/>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МУП г. Шумерля «Коммунальник»</w:t>
            </w:r>
          </w:p>
        </w:tc>
        <w:tc>
          <w:tcPr>
            <w:tcW w:w="1211" w:type="pct"/>
            <w:shd w:val="clear" w:color="auto" w:fill="auto"/>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21.0006.15 от 22.12.2015</w:t>
            </w:r>
          </w:p>
        </w:tc>
        <w:tc>
          <w:tcPr>
            <w:tcW w:w="1808" w:type="pct"/>
            <w:shd w:val="clear" w:color="auto" w:fill="auto"/>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Сбор, размещение</w:t>
            </w:r>
          </w:p>
        </w:tc>
      </w:tr>
      <w:tr w:rsidR="00171D1D" w:rsidRPr="00592BA7" w:rsidTr="00592BA7">
        <w:trPr>
          <w:trHeight w:val="20"/>
          <w:jc w:val="center"/>
        </w:trPr>
        <w:tc>
          <w:tcPr>
            <w:tcW w:w="1981" w:type="pct"/>
            <w:shd w:val="clear" w:color="auto" w:fill="auto"/>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ООО "МВК "Экоцентр"</w:t>
            </w:r>
          </w:p>
        </w:tc>
        <w:tc>
          <w:tcPr>
            <w:tcW w:w="1211" w:type="pct"/>
            <w:shd w:val="clear" w:color="auto" w:fill="auto"/>
            <w:hideMark/>
          </w:tcPr>
          <w:p w:rsidR="00171D1D" w:rsidRPr="00592BA7" w:rsidRDefault="00171D1D" w:rsidP="00592BA7">
            <w:pPr>
              <w:jc w:val="both"/>
              <w:rPr>
                <w:rFonts w:ascii="Times New Roman" w:hAnsi="Times New Roman" w:cs="Times New Roman"/>
                <w:sz w:val="20"/>
                <w:szCs w:val="20"/>
                <w:highlight w:val="yellow"/>
                <w:lang w:eastAsia="ru-RU"/>
              </w:rPr>
            </w:pPr>
          </w:p>
        </w:tc>
        <w:tc>
          <w:tcPr>
            <w:tcW w:w="1808" w:type="pct"/>
            <w:shd w:val="clear" w:color="auto" w:fill="auto"/>
            <w:hideMark/>
          </w:tcPr>
          <w:p w:rsidR="00171D1D" w:rsidRPr="00592BA7" w:rsidRDefault="00171D1D" w:rsidP="00592BA7">
            <w:pPr>
              <w:jc w:val="both"/>
              <w:rPr>
                <w:rFonts w:ascii="Times New Roman" w:hAnsi="Times New Roman" w:cs="Times New Roman"/>
                <w:sz w:val="20"/>
                <w:szCs w:val="20"/>
                <w:highlight w:val="yellow"/>
                <w:lang w:eastAsia="ru-RU"/>
              </w:rPr>
            </w:pPr>
          </w:p>
        </w:tc>
      </w:tr>
    </w:tbl>
    <w:p w:rsidR="00171D1D" w:rsidRPr="00592BA7" w:rsidRDefault="00171D1D" w:rsidP="00592BA7">
      <w:pPr>
        <w:jc w:val="both"/>
        <w:rPr>
          <w:rFonts w:ascii="Times New Roman" w:hAnsi="Times New Roman" w:cs="Times New Roman"/>
          <w:sz w:val="20"/>
          <w:szCs w:val="20"/>
        </w:rPr>
      </w:pP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Оплата услуг по обращению с твёрдыми коммунальными отходами осуществляется по установленному тарифу. В муниципальном округе применяется контейнерная система.</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Селективный сбор и переработка отходов на территории не осуществляются. Пункты приема вторичного сырья на территории отсутствуют. Утилизация отходов посредством сжигания не производится.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Размещение отходов – На территории Шумерлинского муниципального округа организована система сбора и вывоза твердых бытовых отходов на специализированную городскую свалку г. Шумерля, расположенную северо - западнее д. Шумерля. </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Сбор, вывоз и обезвреживание опасных отходов</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При выполнении работ по сбору и обезвреживанию биологических отходов соблюдаются требования Ветеринарно-санитарных правил сбора, утилизации и уничтожения биологических отходов.</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Медицинские отходы собираются на территориях соответствующих учреждений, в которых они образуются. Единые требования к организации системы сбора, перемещения, дезинфекции, временного хранения отходов в пределах лечебно-профилактических учреждений независимо от их формы собственности и ведомственной подчиненности установлены санитарными правилами.</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Юридические лица и индивидуальные предприниматели в случае использования ртутьсодержащих ламп обеспечивают выполнение мероприятий по сбору, обезвреживанию, транспортировке, размещению отходов I - IV классов опасности.</w:t>
      </w:r>
    </w:p>
    <w:p w:rsidR="00171D1D" w:rsidRPr="00592BA7" w:rsidRDefault="00171D1D" w:rsidP="00592BA7">
      <w:pPr>
        <w:jc w:val="both"/>
        <w:rPr>
          <w:rFonts w:ascii="Times New Roman" w:hAnsi="Times New Roman" w:cs="Times New Roman"/>
          <w:sz w:val="20"/>
          <w:szCs w:val="20"/>
        </w:rPr>
      </w:pP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3.6.2.</w:t>
      </w:r>
      <w:r w:rsidRPr="00592BA7">
        <w:rPr>
          <w:rFonts w:ascii="Times New Roman" w:hAnsi="Times New Roman" w:cs="Times New Roman"/>
          <w:sz w:val="20"/>
          <w:szCs w:val="20"/>
        </w:rPr>
        <w:tab/>
        <w:t>Анализ существующего технического состояния системы по обращению твердых коммунальных отходов</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Общее количество контейнерных площадок, расположенных на территории Шумерлинского муниципального округа – 167 шт, их них:</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r w:rsidRPr="00592BA7">
        <w:rPr>
          <w:rFonts w:ascii="Times New Roman" w:hAnsi="Times New Roman" w:cs="Times New Roman"/>
          <w:sz w:val="20"/>
          <w:szCs w:val="20"/>
        </w:rPr>
        <w:tab/>
        <w:t>администрации Шумерлинского муниципального образования -136 шт</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r w:rsidRPr="00592BA7">
        <w:rPr>
          <w:rFonts w:ascii="Times New Roman" w:hAnsi="Times New Roman" w:cs="Times New Roman"/>
          <w:sz w:val="20"/>
          <w:szCs w:val="20"/>
        </w:rPr>
        <w:tab/>
        <w:t>школы Шумерлинского муниципального образования - 9 шт</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r w:rsidRPr="00592BA7">
        <w:rPr>
          <w:rFonts w:ascii="Times New Roman" w:hAnsi="Times New Roman" w:cs="Times New Roman"/>
          <w:sz w:val="20"/>
          <w:szCs w:val="20"/>
        </w:rPr>
        <w:tab/>
        <w:t>кладбище -2 шт</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r w:rsidRPr="00592BA7">
        <w:rPr>
          <w:rFonts w:ascii="Times New Roman" w:hAnsi="Times New Roman" w:cs="Times New Roman"/>
          <w:sz w:val="20"/>
          <w:szCs w:val="20"/>
        </w:rPr>
        <w:tab/>
        <w:t>сторонние площадки - 20 шт.</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Количество контейнеров, расположенных на территории Шумерлинского муниципального округа – 293 контейнера.</w:t>
      </w:r>
    </w:p>
    <w:p w:rsidR="00171D1D" w:rsidRPr="00592BA7" w:rsidRDefault="00171D1D" w:rsidP="00592BA7">
      <w:pPr>
        <w:jc w:val="both"/>
        <w:rPr>
          <w:rFonts w:ascii="Times New Roman" w:hAnsi="Times New Roman" w:cs="Times New Roman"/>
          <w:sz w:val="20"/>
          <w:szCs w:val="20"/>
        </w:rPr>
      </w:pP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3.6.3.</w:t>
      </w:r>
      <w:r w:rsidRPr="00592BA7">
        <w:rPr>
          <w:rFonts w:ascii="Times New Roman" w:hAnsi="Times New Roman" w:cs="Times New Roman"/>
          <w:sz w:val="20"/>
          <w:szCs w:val="20"/>
        </w:rPr>
        <w:tab/>
        <w:t>Анализ эффективности и надежности имеющихся объектов по обращению твердых коммунальных отходов</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Остаточный ресурс </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Остаточный ресурс городской свалки г. Шумерля составляет 23,1%.</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Системы учета</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Учет ТКО производится количество специальных машин по транспортировке ТКО.</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Проблемы и направления их решения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С целью обеспечения санитарно-эпидемиологического благополучия населения Шумерлинского муниципального округа и дальнейшего развития жилищного строительства, необходимо: </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создать систему комплексного обращения с твердыми коммунальными отходами на территории Шумерлинского муниципального округа Чувашской Республики, которая позволит утилизировать до конца 2025 года 75 процентов образующихся отходов;</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ликвидировать все выявленные несанкционированные свалки в границах населенных пунктов.</w:t>
      </w:r>
    </w:p>
    <w:p w:rsidR="00171D1D" w:rsidRPr="00592BA7" w:rsidRDefault="00171D1D" w:rsidP="00592BA7">
      <w:pPr>
        <w:jc w:val="both"/>
        <w:rPr>
          <w:rFonts w:ascii="Times New Roman" w:hAnsi="Times New Roman" w:cs="Times New Roman"/>
          <w:sz w:val="20"/>
          <w:szCs w:val="20"/>
          <w:highlight w:val="yellow"/>
        </w:rPr>
      </w:pP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3.6.2.2. Анализ зон действия объектов по обращению твердых коммунальных отходов и их рациональности, имеющиеся проблемы и направления их решения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Зона действия объектов по обращению твердых коммунальных отходов действует на всей территории муниципального округа.</w:t>
      </w:r>
    </w:p>
    <w:p w:rsidR="00171D1D" w:rsidRPr="00592BA7" w:rsidRDefault="00171D1D" w:rsidP="00592BA7">
      <w:pPr>
        <w:jc w:val="both"/>
        <w:rPr>
          <w:rFonts w:ascii="Times New Roman" w:hAnsi="Times New Roman" w:cs="Times New Roman"/>
          <w:sz w:val="20"/>
          <w:szCs w:val="20"/>
          <w:highlight w:val="yellow"/>
        </w:rPr>
      </w:pP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3.6.2.3. Анализ имеющихся резервов и дефицитов мощности в системе по обращению твердых коммунальных отходов и ожидаемых резервов, и дефицитов</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Городская свалка г. Шумерля (21:23:390101:18), площадью 5,67 Га, вместимостью 800000 т (использован на 76,9%), мощность 9360 т, регистрационный № в ГРОРО: 21-00028-З-00625-310715</w:t>
      </w:r>
    </w:p>
    <w:p w:rsidR="00171D1D" w:rsidRPr="00592BA7" w:rsidRDefault="00171D1D" w:rsidP="00592BA7">
      <w:pPr>
        <w:jc w:val="both"/>
        <w:rPr>
          <w:rFonts w:ascii="Times New Roman" w:hAnsi="Times New Roman" w:cs="Times New Roman"/>
          <w:sz w:val="20"/>
          <w:szCs w:val="20"/>
          <w:highlight w:val="yellow"/>
        </w:rPr>
      </w:pP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3.6.2.4. Воздействие на окружающую среду, имеющиеся проблемы и направления их решения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Анализ выбросов, сбросов, шумовых воздействий</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 xml:space="preserve">В воздушный бассейн района расположения полигона ТБО поступает ряд специфических загрязняющих веществ, опасных для окружающей среды и здоровья человека. Под воздействием микрофлоры в складируемых на свалке ТКО идёт биотермический анаэробный процесс распада органических составляющих. Конечным продуктом этого процесса является биогаз. Перечень наиболее вероятных компонентов биогаза, определённых согласно «Методике расчёта количественных характеристик выбросов загрязняющих веществ в атмосферу от полигонов твёрдых бытовых отходов», приведён в таблице 3.6.2.4.1. </w:t>
      </w:r>
    </w:p>
    <w:p w:rsidR="00171D1D" w:rsidRPr="00592BA7" w:rsidRDefault="00171D1D" w:rsidP="00592BA7">
      <w:pPr>
        <w:jc w:val="both"/>
        <w:rPr>
          <w:rFonts w:ascii="Times New Roman" w:hAnsi="Times New Roman" w:cs="Times New Roman"/>
          <w:sz w:val="20"/>
          <w:szCs w:val="20"/>
        </w:rPr>
      </w:pP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Таблица 3.6.2.4.1</w:t>
      </w:r>
    </w:p>
    <w:tbl>
      <w:tblPr>
        <w:tblW w:w="0" w:type="auto"/>
        <w:tblLook w:val="04A0" w:firstRow="1" w:lastRow="0" w:firstColumn="1" w:lastColumn="0" w:noHBand="0" w:noVBand="1"/>
      </w:tblPr>
      <w:tblGrid>
        <w:gridCol w:w="704"/>
        <w:gridCol w:w="4109"/>
        <w:gridCol w:w="2407"/>
        <w:gridCol w:w="2407"/>
      </w:tblGrid>
      <w:tr w:rsidR="00171D1D" w:rsidRPr="00592BA7" w:rsidTr="00592BA7">
        <w:tc>
          <w:tcPr>
            <w:tcW w:w="704"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п/п</w:t>
            </w:r>
          </w:p>
        </w:tc>
        <w:tc>
          <w:tcPr>
            <w:tcW w:w="4109"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Наименование вещества</w:t>
            </w:r>
          </w:p>
        </w:tc>
        <w:tc>
          <w:tcPr>
            <w:tcW w:w="2407"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Класс опасности</w:t>
            </w:r>
          </w:p>
        </w:tc>
        <w:tc>
          <w:tcPr>
            <w:tcW w:w="2407"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ПДК м.р. для населённых мест, мг/м3</w:t>
            </w:r>
          </w:p>
        </w:tc>
      </w:tr>
      <w:tr w:rsidR="00171D1D" w:rsidRPr="00592BA7" w:rsidTr="00592BA7">
        <w:tc>
          <w:tcPr>
            <w:tcW w:w="704"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w:t>
            </w:r>
          </w:p>
        </w:tc>
        <w:tc>
          <w:tcPr>
            <w:tcW w:w="4109"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Метан </w:t>
            </w:r>
          </w:p>
        </w:tc>
        <w:tc>
          <w:tcPr>
            <w:tcW w:w="2407"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c>
          <w:tcPr>
            <w:tcW w:w="2407"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50</w:t>
            </w:r>
          </w:p>
        </w:tc>
      </w:tr>
      <w:tr w:rsidR="00171D1D" w:rsidRPr="00592BA7" w:rsidTr="00592BA7">
        <w:tc>
          <w:tcPr>
            <w:tcW w:w="704"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w:t>
            </w:r>
          </w:p>
        </w:tc>
        <w:tc>
          <w:tcPr>
            <w:tcW w:w="4109"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Углерод диоксид</w:t>
            </w:r>
          </w:p>
        </w:tc>
        <w:tc>
          <w:tcPr>
            <w:tcW w:w="2407"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c>
          <w:tcPr>
            <w:tcW w:w="2407"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r>
      <w:tr w:rsidR="00171D1D" w:rsidRPr="00592BA7" w:rsidTr="00592BA7">
        <w:tc>
          <w:tcPr>
            <w:tcW w:w="704"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w:t>
            </w:r>
          </w:p>
        </w:tc>
        <w:tc>
          <w:tcPr>
            <w:tcW w:w="4109"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Толуол </w:t>
            </w:r>
          </w:p>
        </w:tc>
        <w:tc>
          <w:tcPr>
            <w:tcW w:w="2407"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c>
          <w:tcPr>
            <w:tcW w:w="2407"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0,06</w:t>
            </w:r>
          </w:p>
        </w:tc>
      </w:tr>
      <w:tr w:rsidR="00171D1D" w:rsidRPr="00592BA7" w:rsidTr="00592BA7">
        <w:tc>
          <w:tcPr>
            <w:tcW w:w="704"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w:t>
            </w:r>
          </w:p>
        </w:tc>
        <w:tc>
          <w:tcPr>
            <w:tcW w:w="4109"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Аммиак </w:t>
            </w:r>
          </w:p>
        </w:tc>
        <w:tc>
          <w:tcPr>
            <w:tcW w:w="2407"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w:t>
            </w:r>
          </w:p>
        </w:tc>
        <w:tc>
          <w:tcPr>
            <w:tcW w:w="2407"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0,20</w:t>
            </w:r>
          </w:p>
        </w:tc>
      </w:tr>
      <w:tr w:rsidR="00171D1D" w:rsidRPr="00592BA7" w:rsidTr="00592BA7">
        <w:tc>
          <w:tcPr>
            <w:tcW w:w="704"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5</w:t>
            </w:r>
          </w:p>
        </w:tc>
        <w:tc>
          <w:tcPr>
            <w:tcW w:w="4109"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Ксилол </w:t>
            </w:r>
          </w:p>
        </w:tc>
        <w:tc>
          <w:tcPr>
            <w:tcW w:w="2407"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w:t>
            </w:r>
          </w:p>
        </w:tc>
        <w:tc>
          <w:tcPr>
            <w:tcW w:w="2407"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0,20</w:t>
            </w:r>
          </w:p>
        </w:tc>
      </w:tr>
      <w:tr w:rsidR="00171D1D" w:rsidRPr="00592BA7" w:rsidTr="00592BA7">
        <w:tc>
          <w:tcPr>
            <w:tcW w:w="704"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w:t>
            </w:r>
          </w:p>
        </w:tc>
        <w:tc>
          <w:tcPr>
            <w:tcW w:w="4109"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Углерод оксид</w:t>
            </w:r>
          </w:p>
        </w:tc>
        <w:tc>
          <w:tcPr>
            <w:tcW w:w="2407"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w:t>
            </w:r>
          </w:p>
        </w:tc>
        <w:tc>
          <w:tcPr>
            <w:tcW w:w="2407"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5,0</w:t>
            </w:r>
          </w:p>
        </w:tc>
      </w:tr>
      <w:tr w:rsidR="00171D1D" w:rsidRPr="00592BA7" w:rsidTr="00592BA7">
        <w:tc>
          <w:tcPr>
            <w:tcW w:w="704"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7</w:t>
            </w:r>
          </w:p>
        </w:tc>
        <w:tc>
          <w:tcPr>
            <w:tcW w:w="4109"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Азота диоксид </w:t>
            </w:r>
          </w:p>
        </w:tc>
        <w:tc>
          <w:tcPr>
            <w:tcW w:w="2407"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w:t>
            </w:r>
          </w:p>
        </w:tc>
        <w:tc>
          <w:tcPr>
            <w:tcW w:w="2407"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0,2</w:t>
            </w:r>
          </w:p>
        </w:tc>
      </w:tr>
      <w:tr w:rsidR="00171D1D" w:rsidRPr="00592BA7" w:rsidTr="00592BA7">
        <w:tc>
          <w:tcPr>
            <w:tcW w:w="704"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8</w:t>
            </w:r>
          </w:p>
        </w:tc>
        <w:tc>
          <w:tcPr>
            <w:tcW w:w="4109"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Формальдегид </w:t>
            </w:r>
          </w:p>
        </w:tc>
        <w:tc>
          <w:tcPr>
            <w:tcW w:w="2407"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w:t>
            </w:r>
          </w:p>
        </w:tc>
        <w:tc>
          <w:tcPr>
            <w:tcW w:w="2407"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0,035</w:t>
            </w:r>
          </w:p>
        </w:tc>
      </w:tr>
      <w:tr w:rsidR="00171D1D" w:rsidRPr="00592BA7" w:rsidTr="00592BA7">
        <w:tc>
          <w:tcPr>
            <w:tcW w:w="704"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9</w:t>
            </w:r>
          </w:p>
        </w:tc>
        <w:tc>
          <w:tcPr>
            <w:tcW w:w="4109"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Сернистый ангидрид </w:t>
            </w:r>
          </w:p>
        </w:tc>
        <w:tc>
          <w:tcPr>
            <w:tcW w:w="2407"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w:t>
            </w:r>
          </w:p>
        </w:tc>
        <w:tc>
          <w:tcPr>
            <w:tcW w:w="2407"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0,5</w:t>
            </w:r>
          </w:p>
        </w:tc>
      </w:tr>
      <w:tr w:rsidR="00171D1D" w:rsidRPr="00592BA7" w:rsidTr="00592BA7">
        <w:tc>
          <w:tcPr>
            <w:tcW w:w="704"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w:t>
            </w:r>
          </w:p>
        </w:tc>
        <w:tc>
          <w:tcPr>
            <w:tcW w:w="4109"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Этилбензол </w:t>
            </w:r>
          </w:p>
        </w:tc>
        <w:tc>
          <w:tcPr>
            <w:tcW w:w="2407"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w:t>
            </w:r>
          </w:p>
        </w:tc>
        <w:tc>
          <w:tcPr>
            <w:tcW w:w="2407"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0,04</w:t>
            </w:r>
          </w:p>
        </w:tc>
      </w:tr>
      <w:tr w:rsidR="00171D1D" w:rsidRPr="00592BA7" w:rsidTr="00592BA7">
        <w:tc>
          <w:tcPr>
            <w:tcW w:w="704"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11</w:t>
            </w:r>
          </w:p>
        </w:tc>
        <w:tc>
          <w:tcPr>
            <w:tcW w:w="4109"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Бензол</w:t>
            </w:r>
          </w:p>
        </w:tc>
        <w:tc>
          <w:tcPr>
            <w:tcW w:w="2407"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w:t>
            </w:r>
          </w:p>
        </w:tc>
        <w:tc>
          <w:tcPr>
            <w:tcW w:w="2407"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0,3</w:t>
            </w:r>
          </w:p>
        </w:tc>
      </w:tr>
      <w:tr w:rsidR="00171D1D" w:rsidRPr="00592BA7" w:rsidTr="00592BA7">
        <w:tc>
          <w:tcPr>
            <w:tcW w:w="704"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12</w:t>
            </w:r>
          </w:p>
        </w:tc>
        <w:tc>
          <w:tcPr>
            <w:tcW w:w="4109"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Сероводород </w:t>
            </w:r>
          </w:p>
        </w:tc>
        <w:tc>
          <w:tcPr>
            <w:tcW w:w="2407"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w:t>
            </w:r>
          </w:p>
        </w:tc>
        <w:tc>
          <w:tcPr>
            <w:tcW w:w="2407"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0,008</w:t>
            </w:r>
          </w:p>
        </w:tc>
      </w:tr>
      <w:tr w:rsidR="00171D1D" w:rsidRPr="00592BA7" w:rsidTr="00592BA7">
        <w:tc>
          <w:tcPr>
            <w:tcW w:w="704"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13</w:t>
            </w:r>
          </w:p>
        </w:tc>
        <w:tc>
          <w:tcPr>
            <w:tcW w:w="4109"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Фенол </w:t>
            </w:r>
          </w:p>
        </w:tc>
        <w:tc>
          <w:tcPr>
            <w:tcW w:w="2407"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w:t>
            </w:r>
          </w:p>
        </w:tc>
        <w:tc>
          <w:tcPr>
            <w:tcW w:w="2407"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0,3</w:t>
            </w:r>
          </w:p>
        </w:tc>
      </w:tr>
    </w:tbl>
    <w:p w:rsidR="00171D1D" w:rsidRPr="00592BA7" w:rsidRDefault="00171D1D" w:rsidP="00592BA7">
      <w:pPr>
        <w:jc w:val="both"/>
        <w:rPr>
          <w:rFonts w:ascii="Times New Roman" w:hAnsi="Times New Roman" w:cs="Times New Roman"/>
          <w:sz w:val="20"/>
          <w:szCs w:val="20"/>
        </w:rPr>
      </w:pP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Сбросы и шумовые воздействия отсутствуют. </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Как известно, свалка ТБО служит источником пищи синантропным видам — переносчикам инфекции, прежде всего, крысам. Банки, бутылки и прочие ёмкости с остатками органики играют роль ловушек для насекомых.</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 В целях борьбы с грызунами и насекомыми на свалке регулярно проводятся дератизация и дезинсекция. </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Анализ деятельности МУП «Коммунальник» по эксплуатации городской свалки ТБО показал, что реализуемые организацией мероприятия существенно снижают негативное влияние свалки на окружающую среду. Таким образом, можно сделать вывод, что свалка эксплуатируется с соблюдением технических, санитарных норм и правил, надлежащая степень экологической безопасности для окружающей природной среды обеспечена практически полностью.</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Имеющиеся проблемы и направления их решения</w:t>
      </w:r>
    </w:p>
    <w:p w:rsidR="00171D1D" w:rsidRPr="00592BA7" w:rsidRDefault="00171D1D" w:rsidP="00592BA7">
      <w:pPr>
        <w:jc w:val="both"/>
        <w:rPr>
          <w:rFonts w:ascii="Times New Roman" w:hAnsi="Times New Roman" w:cs="Times New Roman"/>
          <w:sz w:val="20"/>
          <w:szCs w:val="20"/>
          <w:highlight w:val="yellow"/>
        </w:rPr>
      </w:pPr>
      <w:r w:rsidRPr="00592BA7">
        <w:rPr>
          <w:rFonts w:ascii="Times New Roman" w:hAnsi="Times New Roman" w:cs="Times New Roman"/>
          <w:sz w:val="20"/>
          <w:szCs w:val="20"/>
        </w:rPr>
        <w:t xml:space="preserve">Территориальной схемой обращения с отходами в Чувашской Республике предусмотрено строительство мусоросортировочного комплекса (МСК с элементами перегрузки) на территории г. Шумерля и рекультивация существующего объекта размещения ТКО. Кроме того, Схемой территориального планирования Чувашской </w:t>
      </w:r>
      <w:r w:rsidRPr="00592BA7">
        <w:rPr>
          <w:rFonts w:ascii="Times New Roman" w:hAnsi="Times New Roman" w:cs="Times New Roman"/>
          <w:sz w:val="20"/>
          <w:szCs w:val="20"/>
        </w:rPr>
        <w:lastRenderedPageBreak/>
        <w:t>Республики, на территории д. Шумерля предусматривается строительство мусороперегрузочной площадки с предварительной сортировкой мощностью 30000 тонн/год.</w:t>
      </w:r>
    </w:p>
    <w:p w:rsidR="00171D1D" w:rsidRPr="00592BA7" w:rsidRDefault="00171D1D" w:rsidP="00592BA7">
      <w:pPr>
        <w:jc w:val="both"/>
        <w:rPr>
          <w:rFonts w:ascii="Times New Roman" w:hAnsi="Times New Roman" w:cs="Times New Roman"/>
          <w:sz w:val="20"/>
          <w:szCs w:val="20"/>
          <w:highlight w:val="yellow"/>
        </w:rPr>
      </w:pP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3.6.3. Анализ финансового состояния организаций коммунального комплекса, тарифов на коммунальные ресурсы, платежей и задолженности потребителей за предоставленные ресурсы</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Таблица 3.6.3.1</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Единый тариф на услуги регионального оператора и плата по обращению с ТКО для населения</w:t>
      </w:r>
    </w:p>
    <w:tbl>
      <w:tblPr>
        <w:tblW w:w="0" w:type="auto"/>
        <w:tblLook w:val="04A0" w:firstRow="1" w:lastRow="0" w:firstColumn="1" w:lastColumn="0" w:noHBand="0" w:noVBand="1"/>
      </w:tblPr>
      <w:tblGrid>
        <w:gridCol w:w="1604"/>
        <w:gridCol w:w="1604"/>
        <w:gridCol w:w="1604"/>
        <w:gridCol w:w="1605"/>
        <w:gridCol w:w="1605"/>
        <w:gridCol w:w="1605"/>
      </w:tblGrid>
      <w:tr w:rsidR="00171D1D" w:rsidRPr="00592BA7" w:rsidTr="00592BA7">
        <w:tc>
          <w:tcPr>
            <w:tcW w:w="1604" w:type="dxa"/>
            <w:vMerge w:val="restar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Категория потребителей</w:t>
            </w:r>
          </w:p>
        </w:tc>
        <w:tc>
          <w:tcPr>
            <w:tcW w:w="4813" w:type="dxa"/>
            <w:gridSpan w:val="3"/>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Размер тарифа, рублей/ куб. м</w:t>
            </w:r>
          </w:p>
        </w:tc>
        <w:tc>
          <w:tcPr>
            <w:tcW w:w="1605" w:type="dxa"/>
            <w:vMerge w:val="restar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Изменение по отношению к декабрю 2023 г</w:t>
            </w:r>
          </w:p>
        </w:tc>
        <w:tc>
          <w:tcPr>
            <w:tcW w:w="1605" w:type="dxa"/>
            <w:vMerge w:val="restar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Изменение по отношению к декабрь2023 г. январю 2024 г.</w:t>
            </w:r>
          </w:p>
        </w:tc>
      </w:tr>
      <w:tr w:rsidR="00171D1D" w:rsidRPr="00592BA7" w:rsidTr="00592BA7">
        <w:tc>
          <w:tcPr>
            <w:tcW w:w="1604" w:type="dxa"/>
            <w:vMerge/>
            <w:vAlign w:val="center"/>
          </w:tcPr>
          <w:p w:rsidR="00171D1D" w:rsidRPr="00592BA7" w:rsidRDefault="00171D1D" w:rsidP="00592BA7">
            <w:pPr>
              <w:jc w:val="both"/>
              <w:rPr>
                <w:rFonts w:ascii="Times New Roman" w:hAnsi="Times New Roman" w:cs="Times New Roman"/>
                <w:sz w:val="20"/>
                <w:szCs w:val="20"/>
              </w:rPr>
            </w:pPr>
          </w:p>
        </w:tc>
        <w:tc>
          <w:tcPr>
            <w:tcW w:w="1604"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Декабрь 2023 г.</w:t>
            </w:r>
          </w:p>
        </w:tc>
        <w:tc>
          <w:tcPr>
            <w:tcW w:w="1604"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 01.01.2024 по 30.06.2024</w:t>
            </w:r>
          </w:p>
        </w:tc>
        <w:tc>
          <w:tcPr>
            <w:tcW w:w="1605"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 01.07.2024 по 31.12.2024</w:t>
            </w:r>
          </w:p>
        </w:tc>
        <w:tc>
          <w:tcPr>
            <w:tcW w:w="1605" w:type="dxa"/>
            <w:vMerge/>
            <w:vAlign w:val="center"/>
          </w:tcPr>
          <w:p w:rsidR="00171D1D" w:rsidRPr="00592BA7" w:rsidRDefault="00171D1D" w:rsidP="00592BA7">
            <w:pPr>
              <w:jc w:val="both"/>
              <w:rPr>
                <w:rFonts w:ascii="Times New Roman" w:hAnsi="Times New Roman" w:cs="Times New Roman"/>
                <w:sz w:val="20"/>
                <w:szCs w:val="20"/>
              </w:rPr>
            </w:pPr>
          </w:p>
        </w:tc>
        <w:tc>
          <w:tcPr>
            <w:tcW w:w="1605" w:type="dxa"/>
            <w:vMerge/>
            <w:vAlign w:val="center"/>
          </w:tcPr>
          <w:p w:rsidR="00171D1D" w:rsidRPr="00592BA7" w:rsidRDefault="00171D1D" w:rsidP="00592BA7">
            <w:pPr>
              <w:jc w:val="both"/>
              <w:rPr>
                <w:rFonts w:ascii="Times New Roman" w:hAnsi="Times New Roman" w:cs="Times New Roman"/>
                <w:sz w:val="20"/>
                <w:szCs w:val="20"/>
              </w:rPr>
            </w:pPr>
          </w:p>
        </w:tc>
      </w:tr>
      <w:tr w:rsidR="00171D1D" w:rsidRPr="00592BA7" w:rsidTr="00592BA7">
        <w:tc>
          <w:tcPr>
            <w:tcW w:w="1604"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Единый тариф</w:t>
            </w:r>
          </w:p>
        </w:tc>
        <w:tc>
          <w:tcPr>
            <w:tcW w:w="1604"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442,62</w:t>
            </w:r>
          </w:p>
        </w:tc>
        <w:tc>
          <w:tcPr>
            <w:tcW w:w="1604"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437,4</w:t>
            </w:r>
          </w:p>
        </w:tc>
        <w:tc>
          <w:tcPr>
            <w:tcW w:w="1605"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409,61</w:t>
            </w:r>
          </w:p>
        </w:tc>
        <w:tc>
          <w:tcPr>
            <w:tcW w:w="1605" w:type="dxa"/>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-33 руб. 01 коп. (-7,5 %) </w:t>
            </w:r>
          </w:p>
        </w:tc>
        <w:tc>
          <w:tcPr>
            <w:tcW w:w="1605" w:type="dxa"/>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-27 руб. 79 коп. (-6,4 %)</w:t>
            </w:r>
          </w:p>
        </w:tc>
      </w:tr>
    </w:tbl>
    <w:p w:rsidR="00171D1D" w:rsidRPr="00592BA7" w:rsidRDefault="00171D1D" w:rsidP="00592BA7">
      <w:pPr>
        <w:jc w:val="both"/>
        <w:rPr>
          <w:rFonts w:ascii="Times New Roman" w:hAnsi="Times New Roman" w:cs="Times New Roman"/>
          <w:sz w:val="20"/>
          <w:szCs w:val="20"/>
        </w:rPr>
      </w:pP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Таблица 3.6.3.2</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Нормативы накопления твердых коммунальных отходов</w:t>
      </w:r>
    </w:p>
    <w:tbl>
      <w:tblPr>
        <w:tblW w:w="0" w:type="auto"/>
        <w:tblLook w:val="04A0" w:firstRow="1" w:lastRow="0" w:firstColumn="1" w:lastColumn="0" w:noHBand="0" w:noVBand="1"/>
      </w:tblPr>
      <w:tblGrid>
        <w:gridCol w:w="2406"/>
        <w:gridCol w:w="2976"/>
        <w:gridCol w:w="2126"/>
        <w:gridCol w:w="2119"/>
      </w:tblGrid>
      <w:tr w:rsidR="00171D1D" w:rsidRPr="00592BA7" w:rsidTr="00592BA7">
        <w:tc>
          <w:tcPr>
            <w:tcW w:w="2406" w:type="dxa"/>
            <w:vMerge w:val="restar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Категория потребителей</w:t>
            </w:r>
          </w:p>
        </w:tc>
        <w:tc>
          <w:tcPr>
            <w:tcW w:w="7221" w:type="dxa"/>
            <w:gridSpan w:val="3"/>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Нормативы накопления ТКО, м3 на 1 проживающего (в год)</w:t>
            </w:r>
          </w:p>
        </w:tc>
      </w:tr>
      <w:tr w:rsidR="00171D1D" w:rsidRPr="00592BA7" w:rsidTr="00592BA7">
        <w:tc>
          <w:tcPr>
            <w:tcW w:w="2406" w:type="dxa"/>
            <w:vMerge/>
            <w:vAlign w:val="center"/>
          </w:tcPr>
          <w:p w:rsidR="00171D1D" w:rsidRPr="00592BA7" w:rsidRDefault="00171D1D" w:rsidP="00592BA7">
            <w:pPr>
              <w:jc w:val="both"/>
              <w:rPr>
                <w:rFonts w:ascii="Times New Roman" w:hAnsi="Times New Roman" w:cs="Times New Roman"/>
                <w:sz w:val="20"/>
                <w:szCs w:val="20"/>
              </w:rPr>
            </w:pPr>
          </w:p>
        </w:tc>
        <w:tc>
          <w:tcPr>
            <w:tcW w:w="2976"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 01.01.2024 по 25.06.2024</w:t>
            </w:r>
          </w:p>
        </w:tc>
        <w:tc>
          <w:tcPr>
            <w:tcW w:w="4245" w:type="dxa"/>
            <w:gridSpan w:val="2"/>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 26.06.2024 по 31.12.2024</w:t>
            </w:r>
          </w:p>
        </w:tc>
      </w:tr>
      <w:tr w:rsidR="00171D1D" w:rsidRPr="00592BA7" w:rsidTr="00592BA7">
        <w:tc>
          <w:tcPr>
            <w:tcW w:w="2406" w:type="dxa"/>
            <w:vMerge w:val="restar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Городское население</w:t>
            </w:r>
          </w:p>
        </w:tc>
        <w:tc>
          <w:tcPr>
            <w:tcW w:w="2976" w:type="dxa"/>
            <w:vMerge w:val="restar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1,97</w:t>
            </w:r>
          </w:p>
        </w:tc>
        <w:tc>
          <w:tcPr>
            <w:tcW w:w="2126"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МКД</w:t>
            </w:r>
          </w:p>
        </w:tc>
        <w:tc>
          <w:tcPr>
            <w:tcW w:w="2119"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1,75</w:t>
            </w:r>
          </w:p>
        </w:tc>
      </w:tr>
      <w:tr w:rsidR="00171D1D" w:rsidRPr="00592BA7" w:rsidTr="00592BA7">
        <w:tc>
          <w:tcPr>
            <w:tcW w:w="2406" w:type="dxa"/>
            <w:vMerge/>
            <w:vAlign w:val="center"/>
          </w:tcPr>
          <w:p w:rsidR="00171D1D" w:rsidRPr="00592BA7" w:rsidRDefault="00171D1D" w:rsidP="00592BA7">
            <w:pPr>
              <w:jc w:val="both"/>
              <w:rPr>
                <w:rFonts w:ascii="Times New Roman" w:hAnsi="Times New Roman" w:cs="Times New Roman"/>
                <w:sz w:val="20"/>
                <w:szCs w:val="20"/>
              </w:rPr>
            </w:pPr>
          </w:p>
        </w:tc>
        <w:tc>
          <w:tcPr>
            <w:tcW w:w="2976" w:type="dxa"/>
            <w:vMerge/>
            <w:vAlign w:val="center"/>
          </w:tcPr>
          <w:p w:rsidR="00171D1D" w:rsidRPr="00592BA7" w:rsidRDefault="00171D1D" w:rsidP="00592BA7">
            <w:pPr>
              <w:jc w:val="both"/>
              <w:rPr>
                <w:rFonts w:ascii="Times New Roman" w:hAnsi="Times New Roman" w:cs="Times New Roman"/>
                <w:sz w:val="20"/>
                <w:szCs w:val="20"/>
              </w:rPr>
            </w:pPr>
          </w:p>
        </w:tc>
        <w:tc>
          <w:tcPr>
            <w:tcW w:w="2126"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ИЖС</w:t>
            </w:r>
          </w:p>
        </w:tc>
        <w:tc>
          <w:tcPr>
            <w:tcW w:w="2119"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2,0411</w:t>
            </w:r>
          </w:p>
        </w:tc>
      </w:tr>
      <w:tr w:rsidR="00171D1D" w:rsidRPr="00592BA7" w:rsidTr="00592BA7">
        <w:tc>
          <w:tcPr>
            <w:tcW w:w="2406" w:type="dxa"/>
            <w:vMerge w:val="restar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Сельское население </w:t>
            </w:r>
          </w:p>
        </w:tc>
        <w:tc>
          <w:tcPr>
            <w:tcW w:w="2976" w:type="dxa"/>
            <w:vMerge w:val="restar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1,57</w:t>
            </w:r>
          </w:p>
        </w:tc>
        <w:tc>
          <w:tcPr>
            <w:tcW w:w="2126"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МКД</w:t>
            </w:r>
          </w:p>
        </w:tc>
        <w:tc>
          <w:tcPr>
            <w:tcW w:w="2119"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1,75</w:t>
            </w:r>
          </w:p>
        </w:tc>
      </w:tr>
      <w:tr w:rsidR="00171D1D" w:rsidRPr="00592BA7" w:rsidTr="00592BA7">
        <w:tc>
          <w:tcPr>
            <w:tcW w:w="2406" w:type="dxa"/>
            <w:vMerge/>
            <w:vAlign w:val="center"/>
          </w:tcPr>
          <w:p w:rsidR="00171D1D" w:rsidRPr="00592BA7" w:rsidRDefault="00171D1D" w:rsidP="00592BA7">
            <w:pPr>
              <w:jc w:val="both"/>
              <w:rPr>
                <w:rFonts w:ascii="Times New Roman" w:hAnsi="Times New Roman" w:cs="Times New Roman"/>
                <w:sz w:val="20"/>
                <w:szCs w:val="20"/>
              </w:rPr>
            </w:pPr>
          </w:p>
        </w:tc>
        <w:tc>
          <w:tcPr>
            <w:tcW w:w="2976" w:type="dxa"/>
            <w:vMerge/>
            <w:vAlign w:val="center"/>
          </w:tcPr>
          <w:p w:rsidR="00171D1D" w:rsidRPr="00592BA7" w:rsidRDefault="00171D1D" w:rsidP="00592BA7">
            <w:pPr>
              <w:jc w:val="both"/>
              <w:rPr>
                <w:rFonts w:ascii="Times New Roman" w:hAnsi="Times New Roman" w:cs="Times New Roman"/>
                <w:sz w:val="20"/>
                <w:szCs w:val="20"/>
              </w:rPr>
            </w:pPr>
          </w:p>
        </w:tc>
        <w:tc>
          <w:tcPr>
            <w:tcW w:w="2126"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ИЖС</w:t>
            </w:r>
          </w:p>
        </w:tc>
        <w:tc>
          <w:tcPr>
            <w:tcW w:w="2119"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2,0411</w:t>
            </w:r>
          </w:p>
        </w:tc>
      </w:tr>
    </w:tbl>
    <w:p w:rsidR="00171D1D" w:rsidRPr="00592BA7" w:rsidRDefault="00171D1D" w:rsidP="00592BA7">
      <w:pPr>
        <w:jc w:val="both"/>
        <w:rPr>
          <w:rFonts w:ascii="Times New Roman" w:hAnsi="Times New Roman" w:cs="Times New Roman"/>
          <w:sz w:val="20"/>
          <w:szCs w:val="20"/>
        </w:rPr>
      </w:pP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Раздел 4 Характеристика состояния и проблем в реализации энергоресурсосбережения и учета и сбора информации</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4.1. Анализ состояния энергоресурсосбережения в муниципальном округе</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Постановлением Администрации Шумерлинского муниципального округа от 25.10.2022 №871, утверждена муниципальная программа Шумерлинского муниципального округа Чувашской Республики «Энергосбережение и повышение энергетической эффективности в Шумерлинском муниципальном округе Чувашской Республики на 2022-2025 годы и на период до 2035 года».</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Цели муниципальной программы: </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 повышение энергетической эффективности при производстве, передаче и потреблении энергетических ресурсов и уменьшение негативного воздействия на окружающую среду. </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Задачи муниципальной программы:</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снижение удельного потребления топливно-энергетических ресурсов в бюджетной сфере в сопоставимых условиях с увеличением оснащенности приборами учета;</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 снижение потребления топливно-энергетических ресурсов в жилищном фонде в сопоставимых условиях с увеличением оснащенности приборами учета и увеличением доли энергоэффективного капитального ремонта;</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энергосбережение и повышение энергетической эффективности систем коммунальной инфраструктуры в том числе в части уменьшения потерь энергетических ресурсов при передаче и проведении работ по выявлению бесхозяйных объектов недвижимого имущества;</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ведение комплекса организационно - правовых мероприятий по управлению энергосбережением, в том числе создание системы показателей, характеризующих энергетическую эффективность при производстве, передаче и потреблении энергетических ресурсов, их мониторинга, а также сбора и анализа информации об энергоемкости экономики муниципального округа;</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определение потенциала энергосбережения в промышленном секторе с последующим снижением энергоемкости производимой продукции;</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увеличение использования в качестве источников энергии вторичных энергетических ресурсов и (или) возобновляемых источников энергии;</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снижение затрат электрической энергии на уличное освещение путем внедрения энергоэффективных источников освещения;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 создание благоприятных условий для замещения части потребляемого моторного топлива (бензина и дизельного топлива), используемого транспортными средствами, альтернативными видами моторного топлива. </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Ожидаемые результаты реализации Муниципальной программы:</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формирование действующего механизма управления потреблением топливно-энергетических ресурсов, их учет, экономия, нормирование и лимитирование муниципальными бюджетными организациями всех уровней и сокращение затрат на оплату коммунальных ресурсов;</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снижение затрат на энергопотребление организаций бюджетной сферы, населения и предприятий муниципального округа в результате реализации энергосберегающих мероприятий;</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 создание условий для развития рынка товаров и услуг в сфере энергосбережения. </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Направление развития энергосбережения и повышения энергетической эффективности в муниципальном секторе</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В Шумерлинском муниципальном округе Чувашской Республики насчитывается суммарно 15 бюджетных учреждений осуществляющих свою деятельность в 18 здания (строениях, сооружениях). Без наличия соответствующего приборного обеспечения учета потребляемых энергоресурсов невозможно реализация комплексной программы по энергосбережению, соответственно первоочередным направлением в данном секторе является полное оснащение приборами учета тех топливно-энергетических ресурсов, за потребление которых производится оплата.Следующее направление развития – достижение снижения потребления топливно-энергетических ресурсов в сопоставимых условиях.</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Направление развития энергосбережения и повышения энергетической эффективности жилищном фонде</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Жилой фонд в Шумерлинском муниципальном округе Чувашской Республики представлен 15 многоквартирным жилым домом и 5 388 индивидуальным жилым домостроением. </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Первое направление развития энергосбережения и повышения энергетической эффективности в жилищном фонде определено задачей по упорядочиванию расчетов за электрическую, тепловую энергию и водоснабжение, потребляемые жилыми домами, находящимися на территории Шумерлинского муниципального округа Чувашской Республики, а также в целях стимулирования потребителей к сбережению тепловой, электрической энергии и воды устанавливаются общедомовые и индивидуальные приборы учета топливно-энергетических ресурсов.</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Следующее направление Муниципальной программы по данному сектору определяется необходимостью в повышении количества энергоэффективных капитальных ремонтов, увеличением контроля органами местного самоуправления над застройщиками и организациями проводящими капитальный ремонт с целью увеличения количества многоквартирных домов имеющих класс энергетической эффективности «В» и выше. По данному направлению помимо контроля, присвоения класса энергетической эффективности входит информационная поддержка населения, пропаганда в области энергосбережения, организационно-просветительская деятельность в части реализации наиболее энергоэффективных мероприятий.</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Заключительное направление определено необходимостью выработки системной политики в области энергосбережения в жилищном фонде, что подразумевают под собой реализацию конкретных беззатратных мероприятий и разработку ряда нормативных документов. Например по данному направлению предполагается проведение энергетического мониторинга использования тепловой, электрической энергии, природного газа и воды в жилищном фонде, введение социальной нормы потребления энергетических ресурсов и дифференцированных цен (тарифов), ранжирование многоквартирных домов по уровню энергоэффективности, выявление многоквартирных домов, требующих реализации первоочередных мер по повышению энергоэффективности и так далее (конкретный перечень мероприятий приведен в соответствующем приложении).</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Направление развития энергосбережения и повышения энергетической эффективности в коммунальной инфраструктуре</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Соответствующая ситуация в коммунальной сфере определяет первое направление по энергосбережению в данном секторе решающую задачу по снижению потерь топливно-энергетических ресурсов и воды на собственные нужды и при транспортировке. Реализация данного направления производится за счет существующих программ энергосбережения и повышения энергетической эффективности организаций осуществляющих регулируемые виды деятельности а так же инвестиционных и производственных программ. Вторым направлением в соответствии с Постановлением Правительства РФ от 11 февраля 2021 г. № 161 «Об утверждении требований к региональным и муниципальным программам в области энергосбережения и повышения энергетической эффективности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 определена постоянная работа по выявлению бесхозяйных объектов недвижимого имущества, используемых для передачи энергетических ресурсов и организацией управления данными объектами.</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Следующее направление определяет повышение энергетической эффективности источников теплоснабжения, водоснабжения а так же снижение удельных затрат электрической энергии на подготовку, транспортировку воды, водоотведение. </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Направление развития энергосбережения и повышения энергетической эффективности в промышленности</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Основными потребителями в данном секторе выступают следующие предприятия. </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СХПК "КОМБИНАТ" с выпуском основной продукции - зерновые культуры и ориентировочном потреблении топливно-энергетических ресурсов свыше 5 т у.т.</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ООО "ТРАДИЦИЯ ВКУСА" с выпуском основной продукции - хлебная продукция и ориентировочном потреблении топливно-энергетических ресурсов свыше 10 т у.т.</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ООО "ПРИВОЛЬЕ" с выпуском основной продукции - животноводство и ориентировочном потреблении топливно-энергетических ресурсов свыше 10 т у.т.</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Основное направление по энергосбережению и повышению энергетической эффективности в данном секторе направлено на оценку потенциала в области энергосбережения на основании энергетического обследованию специализированными организациями, после которого будет сформирован конкретный перечень мероприятий, реализация которых позволит снизить энергоемкость производимой продукции.</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Направление развития энергосбережения и повышения энергетической эффективности в транспортном комплексе</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Основным направлением по развитию энергосбережения и повышения энергетической эффективности в транспортном комплексе определяется переход на использование альтернативных видов моторного топлива - природный газ, газовые смеси, сжиженный углеводородный газ, электрическая энергия вместо бензина и дизельного топлива.</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На территории Шумерлинского муниципального округа Чувашской Республики в настоящее время функционирует 1 газозаправочная станция, что позволяет реализовать мероприятия отраженные в Муниципальной программе.</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Второе направление в данном секторе включает в себя строительство автомобильных станций для зарядки автотранспортных средств с автономным источником электрического питания. </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Направление развития энергосбережения и повышения энергетической эффективности в уличном освещении</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Данное направление нацелено на целевую замену всех источников уличного освещения на энергоэффективное в соответствии с определениями Постановления Правительства РФ № 2255 от 24 декабря 2020 г. «Об утверждении требований к осветительным устройствам и электрическим лампам, используемым в цепях переменного тока в целях освещения».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Прогнозируемые объемы финансирования мероприятий Муниципальной программы в 2022–2035 годах составляют 30969,2 тыс. рублей, в том числе:</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в 2022 году – 0,0 тыс. рублей;</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в 2023 году - 331,7 тыс. рублей;</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в 2024 году - 956,4 тыс. рублей;</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в 2025 году - 988,5 тыс. рублей;</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в 2026 - 2030 году - 7846,9 тыс. рублей;</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в 2031 - 2035 году - 20845,7 тыс. рублей.</w:t>
      </w:r>
    </w:p>
    <w:p w:rsidR="00171D1D" w:rsidRPr="00592BA7" w:rsidRDefault="00171D1D" w:rsidP="00592BA7">
      <w:pPr>
        <w:jc w:val="both"/>
        <w:rPr>
          <w:rFonts w:ascii="Times New Roman" w:hAnsi="Times New Roman" w:cs="Times New Roman"/>
          <w:sz w:val="20"/>
          <w:szCs w:val="20"/>
        </w:rPr>
      </w:pP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4.2. Анализ состояния учета потребления ресурсов, используемых приборов учета и программно-аппаратных комплексов</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В соответствии с требованиями Федерального закона от 23 ноября 2009года №261-ФЗ «Об энергосбережении и о повышении энергетической эффективности, и о внесении изменений в отдельные законодательные акты Российской Федерации», энергетический ресурс – носитель энергии, энергия которого используется или может быть использована при осуществлении хозяйственной и иной деятельности, а также вид энергии (атомная, тепловая, электрическая, электромагнитная энергия или другой вид энергии).</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Правовое регулирование в области энергосбережения и повышения энергетической эффективности основывается на следующих принципах:</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эффективное и рациональное использование энергетических ресурсов;</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поддержка и стимулирование энергосбережения и повышения энергетической эффективности;</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системность и комплексность проведения мероприятий по энергосбережению и повышению энергетической эффективности;</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планирование энергосбережения и повышения энергетической эффективности.</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Полномочиями в области энергосбережения и повышения энергетической эффективности наделены органы государственной власти Российской Федерации, органы государственной власти субъектов Российской Федерации, органы местного самоуправления.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К полномочиям органов местного самоуправления в области энергосбережения и повышения энергетической эффективности относятся: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установление требований к программам в области энергосбережения и повышения энергетической эффективности организаций коммунального комплекса, цены (тарифы) на товары, услуги которых подлежат установлению органами местного самоуправления;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информационное обеспечение мероприятий по энергосбережению и повышению энергетической эффективности, определенных в качестве обязательных федеральными законами и иными нормативными правовыми актами Российской Федерации, а также предусмотренных соответствующей муниципальной программой в области энергосбережения и повышения энергетической эффективности;</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координация мероприятий по энергосбережению и повышению энергетической эффективности и контроль за их проведением муниципальными учреждениями.</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Анализ состояния учета потребления ресурсов, по данным муниципальной программы «Энергосбережение и повышение энергетической эффективности в Шумерлинском муниципальном округе Чувашской Республики на 2022-2025 годы и на период до 2035 года», представлен в таблице 4.2.1.</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Таблица 4.2.1.</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Анализ состояния учета потребления ресурсов</w:t>
      </w:r>
    </w:p>
    <w:tbl>
      <w:tblPr>
        <w:tblW w:w="0" w:type="auto"/>
        <w:tblLook w:val="04A0" w:firstRow="1" w:lastRow="0" w:firstColumn="1" w:lastColumn="0" w:noHBand="0" w:noVBand="1"/>
      </w:tblPr>
      <w:tblGrid>
        <w:gridCol w:w="704"/>
        <w:gridCol w:w="7918"/>
        <w:gridCol w:w="1005"/>
      </w:tblGrid>
      <w:tr w:rsidR="00171D1D" w:rsidRPr="00592BA7" w:rsidTr="00592BA7">
        <w:tc>
          <w:tcPr>
            <w:tcW w:w="704"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п/п</w:t>
            </w:r>
          </w:p>
        </w:tc>
        <w:tc>
          <w:tcPr>
            <w:tcW w:w="7918"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Вид услуги</w:t>
            </w:r>
          </w:p>
        </w:tc>
        <w:tc>
          <w:tcPr>
            <w:tcW w:w="1005"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Значение </w:t>
            </w:r>
          </w:p>
        </w:tc>
      </w:tr>
      <w:tr w:rsidR="00171D1D" w:rsidRPr="00592BA7" w:rsidTr="00592BA7">
        <w:tc>
          <w:tcPr>
            <w:tcW w:w="704"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w:t>
            </w:r>
          </w:p>
        </w:tc>
        <w:tc>
          <w:tcPr>
            <w:tcW w:w="7918"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Доля потребления муниципальными учреждениями тепловой энергии приобретаемой по приборам учета, в общем объеме потребления тепловой энергии муниципальными учреждениями на территории Шумерлинского муниципального округа </w:t>
            </w:r>
          </w:p>
        </w:tc>
        <w:tc>
          <w:tcPr>
            <w:tcW w:w="1005"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w:t>
            </w:r>
          </w:p>
        </w:tc>
      </w:tr>
      <w:tr w:rsidR="00171D1D" w:rsidRPr="00592BA7" w:rsidTr="00592BA7">
        <w:tc>
          <w:tcPr>
            <w:tcW w:w="704"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w:t>
            </w:r>
          </w:p>
        </w:tc>
        <w:tc>
          <w:tcPr>
            <w:tcW w:w="7918"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Доля потребления муниципальными учреждениями электрической энергии приобретаемой по приборам учета, в общем объеме потребления электрической энергии муниципальными учреждениями на территории Шумерлинского муниципального округа </w:t>
            </w:r>
          </w:p>
        </w:tc>
        <w:tc>
          <w:tcPr>
            <w:tcW w:w="1005"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w:t>
            </w:r>
          </w:p>
        </w:tc>
      </w:tr>
      <w:tr w:rsidR="00171D1D" w:rsidRPr="00592BA7" w:rsidTr="00592BA7">
        <w:tc>
          <w:tcPr>
            <w:tcW w:w="704"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w:t>
            </w:r>
          </w:p>
        </w:tc>
        <w:tc>
          <w:tcPr>
            <w:tcW w:w="7918"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Доля потребления муниципальными учреждениями холодной воды приобретаемой по приборам учета, в общем объеме потребления холодной воды муниципальными учреждениями на территории Шумерлинского муниципального округа </w:t>
            </w:r>
          </w:p>
        </w:tc>
        <w:tc>
          <w:tcPr>
            <w:tcW w:w="1005"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52,8%</w:t>
            </w:r>
          </w:p>
        </w:tc>
      </w:tr>
      <w:tr w:rsidR="00171D1D" w:rsidRPr="00592BA7" w:rsidTr="00592BA7">
        <w:tc>
          <w:tcPr>
            <w:tcW w:w="704"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w:t>
            </w:r>
          </w:p>
        </w:tc>
        <w:tc>
          <w:tcPr>
            <w:tcW w:w="7918"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Доля потребления муниципальными учреждениями природного газа приобретаемого по приборам учета, в общем объеме потребления природного газа муниципальными учреждениями на территории Шумерлинского муниципального округа </w:t>
            </w:r>
          </w:p>
        </w:tc>
        <w:tc>
          <w:tcPr>
            <w:tcW w:w="1005"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w:t>
            </w:r>
          </w:p>
        </w:tc>
      </w:tr>
      <w:tr w:rsidR="00171D1D" w:rsidRPr="00592BA7" w:rsidTr="00592BA7">
        <w:tc>
          <w:tcPr>
            <w:tcW w:w="704"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5</w:t>
            </w:r>
          </w:p>
        </w:tc>
        <w:tc>
          <w:tcPr>
            <w:tcW w:w="7918"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Доля многоквартирных домов, оснащенных коллективными (общедомовыми) приборами учета тепловой энергии в общем числе многоквартирных домов, расположенных на территории Шумерлинского муниципального округа </w:t>
            </w:r>
          </w:p>
        </w:tc>
        <w:tc>
          <w:tcPr>
            <w:tcW w:w="1005"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66,7%</w:t>
            </w:r>
          </w:p>
        </w:tc>
      </w:tr>
      <w:tr w:rsidR="00171D1D" w:rsidRPr="00592BA7" w:rsidTr="00592BA7">
        <w:tc>
          <w:tcPr>
            <w:tcW w:w="704"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w:t>
            </w:r>
          </w:p>
        </w:tc>
        <w:tc>
          <w:tcPr>
            <w:tcW w:w="7918"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Доля многоквартирных домов, оснащенных коллективными (общедомовыми) приборами учета электрической энергии в общем числе многоквартирных домов, расположенных на территории Шумерлинского муниципального округа </w:t>
            </w:r>
          </w:p>
        </w:tc>
        <w:tc>
          <w:tcPr>
            <w:tcW w:w="1005"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w:t>
            </w:r>
          </w:p>
        </w:tc>
      </w:tr>
      <w:tr w:rsidR="00171D1D" w:rsidRPr="00592BA7" w:rsidTr="00592BA7">
        <w:tc>
          <w:tcPr>
            <w:tcW w:w="704"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7</w:t>
            </w:r>
          </w:p>
        </w:tc>
        <w:tc>
          <w:tcPr>
            <w:tcW w:w="7918"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Доля многоквартирных домов, оснащенных коллективными (общедомовыми) приборами учета холодной воды в общем числе многоквартирных домов, расположенных на территории Шумерлинского муниципального округа </w:t>
            </w:r>
          </w:p>
        </w:tc>
        <w:tc>
          <w:tcPr>
            <w:tcW w:w="1005"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w:t>
            </w:r>
          </w:p>
        </w:tc>
      </w:tr>
      <w:tr w:rsidR="00171D1D" w:rsidRPr="00592BA7" w:rsidTr="00592BA7">
        <w:tc>
          <w:tcPr>
            <w:tcW w:w="704"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8</w:t>
            </w:r>
          </w:p>
        </w:tc>
        <w:tc>
          <w:tcPr>
            <w:tcW w:w="7918"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Доля жилых, нежилых помещений в многоквартирных домах, жилых домах (домовладениях), оснащенных индивидуальными приборами учета тепловой энергии в общем числе жилых, нежилых помещений в многоквартирных домах, жилых домах (домовладениях), расположенных на территории Шумерлинского муниципального </w:t>
            </w:r>
            <w:r w:rsidRPr="00592BA7">
              <w:rPr>
                <w:rFonts w:ascii="Times New Roman" w:hAnsi="Times New Roman" w:cs="Times New Roman"/>
                <w:sz w:val="20"/>
                <w:szCs w:val="20"/>
              </w:rPr>
              <w:lastRenderedPageBreak/>
              <w:t xml:space="preserve">округа </w:t>
            </w:r>
          </w:p>
        </w:tc>
        <w:tc>
          <w:tcPr>
            <w:tcW w:w="1005"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66,7%</w:t>
            </w:r>
          </w:p>
        </w:tc>
      </w:tr>
      <w:tr w:rsidR="00171D1D" w:rsidRPr="00592BA7" w:rsidTr="00592BA7">
        <w:tc>
          <w:tcPr>
            <w:tcW w:w="704"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9</w:t>
            </w:r>
          </w:p>
        </w:tc>
        <w:tc>
          <w:tcPr>
            <w:tcW w:w="7918"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Доля жилых, нежилых помещений в многоквартирных домах, жилых домах (домовладениях), оснащенных индивидуальными приборами учета электрической энергии в общем числе жилых, нежилых помещений в многоквартирных домах, жилых домах (домовладениях), расположенных на территории Шумерлинского муниципального округа </w:t>
            </w:r>
          </w:p>
        </w:tc>
        <w:tc>
          <w:tcPr>
            <w:tcW w:w="1005"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w:t>
            </w:r>
          </w:p>
        </w:tc>
      </w:tr>
      <w:tr w:rsidR="00171D1D" w:rsidRPr="00592BA7" w:rsidTr="00592BA7">
        <w:tc>
          <w:tcPr>
            <w:tcW w:w="704"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w:t>
            </w:r>
          </w:p>
        </w:tc>
        <w:tc>
          <w:tcPr>
            <w:tcW w:w="7918"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Доля жилых, нежилых помещений в многоквартирных домах, жилых домах (домовладениях), оснащенных индивидуальными приборами учета холодной воды в общем числе жилых, нежилых помещений в многоквартирных домах, жилых домах (домовладениях), расположенных на территории Шумерлинского муниципального округа </w:t>
            </w:r>
          </w:p>
        </w:tc>
        <w:tc>
          <w:tcPr>
            <w:tcW w:w="1005"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w:t>
            </w:r>
          </w:p>
        </w:tc>
      </w:tr>
      <w:tr w:rsidR="00171D1D" w:rsidRPr="00592BA7" w:rsidTr="00592BA7">
        <w:tc>
          <w:tcPr>
            <w:tcW w:w="704"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11</w:t>
            </w:r>
          </w:p>
        </w:tc>
        <w:tc>
          <w:tcPr>
            <w:tcW w:w="7918"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Доля жилых, нежилых помещений в многоквартирных домах, жилых домах (домовладениях), оснащенных индивидуальными приборами учета природного газа используемого на цели отопления в общем числе жилых, нежилых помещений в многоквартирных домах, жилых домах (домовладениях), расположенных на территории Шумерлинского муниципального округа Чувашской Республики</w:t>
            </w:r>
          </w:p>
        </w:tc>
        <w:tc>
          <w:tcPr>
            <w:tcW w:w="1005"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98,9%</w:t>
            </w:r>
          </w:p>
        </w:tc>
      </w:tr>
      <w:tr w:rsidR="00171D1D" w:rsidRPr="00592BA7" w:rsidTr="00592BA7">
        <w:tc>
          <w:tcPr>
            <w:tcW w:w="704"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12</w:t>
            </w:r>
          </w:p>
        </w:tc>
        <w:tc>
          <w:tcPr>
            <w:tcW w:w="7918"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Доля объема тепловой энергии, расчеты за которую осуществляются с использованием приборов учета, в общем объеме тепловой энергии, потребляемой (используемой) на территории Шумерлинского муниципального округа </w:t>
            </w:r>
          </w:p>
        </w:tc>
        <w:tc>
          <w:tcPr>
            <w:tcW w:w="1005"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28,1%</w:t>
            </w:r>
          </w:p>
        </w:tc>
      </w:tr>
      <w:tr w:rsidR="00171D1D" w:rsidRPr="00592BA7" w:rsidTr="00592BA7">
        <w:tc>
          <w:tcPr>
            <w:tcW w:w="704"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13</w:t>
            </w:r>
          </w:p>
        </w:tc>
        <w:tc>
          <w:tcPr>
            <w:tcW w:w="7918"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Доля объема электрической энергии, расчеты за которую осуществляются с использованием приборов учета, в общем объеме электрической энергии, потребляемой (используемой) на территории Шумерлинского муниципального округа </w:t>
            </w:r>
          </w:p>
        </w:tc>
        <w:tc>
          <w:tcPr>
            <w:tcW w:w="1005"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76,9%</w:t>
            </w:r>
          </w:p>
        </w:tc>
      </w:tr>
      <w:tr w:rsidR="00171D1D" w:rsidRPr="00592BA7" w:rsidTr="00592BA7">
        <w:tc>
          <w:tcPr>
            <w:tcW w:w="704"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14</w:t>
            </w:r>
          </w:p>
        </w:tc>
        <w:tc>
          <w:tcPr>
            <w:tcW w:w="7918"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Доля объема холодной воды, расчеты за которую осуществляются с использованием приборов учета, в общем объеме холодной воды, потребляемой (используемой) на территории Шумерлинского муниципального округа </w:t>
            </w:r>
          </w:p>
        </w:tc>
        <w:tc>
          <w:tcPr>
            <w:tcW w:w="1005"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79,6%</w:t>
            </w:r>
          </w:p>
        </w:tc>
      </w:tr>
      <w:tr w:rsidR="00171D1D" w:rsidRPr="00592BA7" w:rsidTr="00592BA7">
        <w:tc>
          <w:tcPr>
            <w:tcW w:w="704"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15</w:t>
            </w:r>
          </w:p>
        </w:tc>
        <w:tc>
          <w:tcPr>
            <w:tcW w:w="7918"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Доля объема природного газа, расчеты за который осуществляются с использованием приборов учета, в общем объеме природного газа, потребляемого (используемого) на территории Шумерлинского муниципального округа </w:t>
            </w:r>
          </w:p>
        </w:tc>
        <w:tc>
          <w:tcPr>
            <w:tcW w:w="1005"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w:t>
            </w:r>
          </w:p>
        </w:tc>
      </w:tr>
    </w:tbl>
    <w:p w:rsidR="00171D1D" w:rsidRPr="00592BA7" w:rsidRDefault="00171D1D" w:rsidP="00592BA7">
      <w:pPr>
        <w:jc w:val="both"/>
        <w:rPr>
          <w:rFonts w:ascii="Times New Roman" w:hAnsi="Times New Roman" w:cs="Times New Roman"/>
          <w:sz w:val="20"/>
          <w:szCs w:val="20"/>
        </w:rPr>
      </w:pP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Раздел 5 Целевые показатели развития коммунальной инфраструктуры</w:t>
      </w:r>
    </w:p>
    <w:p w:rsidR="00171D1D" w:rsidRPr="00592BA7" w:rsidRDefault="00171D1D" w:rsidP="00592BA7">
      <w:pPr>
        <w:jc w:val="both"/>
        <w:rPr>
          <w:rFonts w:ascii="Times New Roman" w:hAnsi="Times New Roman" w:cs="Times New Roman"/>
          <w:sz w:val="20"/>
          <w:szCs w:val="20"/>
        </w:rPr>
      </w:pPr>
    </w:p>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Результаты реализации Программы определяются уровнем достижения запланированных целевых показателей.</w:t>
      </w:r>
    </w:p>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Перечень целевых показателей с детализацией по системам коммунальной инфраструктуры принят в соответствии с Методическими рекомендациями по разработке программ комплексного развития систем коммунальной инфраструктуры муниципальных образований</w:t>
      </w:r>
      <w:r w:rsidRPr="00592BA7">
        <w:rPr>
          <w:rFonts w:ascii="Times New Roman" w:hAnsi="Times New Roman" w:cs="Times New Roman"/>
          <w:sz w:val="20"/>
          <w:szCs w:val="20"/>
          <w:lang w:eastAsia="ru-RU"/>
        </w:rPr>
        <w:footnoteReference w:id="1"/>
      </w:r>
      <w:r w:rsidRPr="00592BA7">
        <w:rPr>
          <w:rFonts w:ascii="Times New Roman" w:hAnsi="Times New Roman" w:cs="Times New Roman"/>
          <w:sz w:val="20"/>
          <w:szCs w:val="20"/>
          <w:lang w:eastAsia="ru-RU"/>
        </w:rPr>
        <w:t>:</w:t>
      </w:r>
    </w:p>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критерии доступности коммунальных услуг для населения;</w:t>
      </w:r>
    </w:p>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показатели спроса на коммунальные ресурсы и перспективные нагрузки;</w:t>
      </w:r>
    </w:p>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величины новых нагрузок;</w:t>
      </w:r>
    </w:p>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показатели качества поставляемого ресурса;</w:t>
      </w:r>
    </w:p>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показатели степени охвата потребителей приборами учета;</w:t>
      </w:r>
    </w:p>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показатели надежности поставки ресурсов;</w:t>
      </w:r>
    </w:p>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показатели эффективности производства и транспортировки ресурсов;</w:t>
      </w:r>
    </w:p>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показатели эффективности потребления коммунальных ресурсов;</w:t>
      </w:r>
    </w:p>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показатели воздействия на окружающую среду.</w:t>
      </w:r>
    </w:p>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При формировании требований к конечному состоянию коммунальной инфраструктуры муниципального образования применяются показатели и индикаторы в соответствии с Методикой проведения мониторинга выполнения производственных и инвестиционных программ организаций коммунального комплекса</w:t>
      </w:r>
      <w:r w:rsidRPr="00592BA7">
        <w:rPr>
          <w:rFonts w:ascii="Times New Roman" w:hAnsi="Times New Roman" w:cs="Times New Roman"/>
          <w:sz w:val="20"/>
          <w:szCs w:val="20"/>
          <w:lang w:eastAsia="ru-RU"/>
        </w:rPr>
        <w:footnoteReference w:id="2"/>
      </w:r>
      <w:r w:rsidRPr="00592BA7">
        <w:rPr>
          <w:rFonts w:ascii="Times New Roman" w:hAnsi="Times New Roman" w:cs="Times New Roman"/>
          <w:sz w:val="20"/>
          <w:szCs w:val="20"/>
          <w:lang w:eastAsia="ru-RU"/>
        </w:rPr>
        <w:t>.</w:t>
      </w:r>
    </w:p>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Целевые показатели устанавливаются по каждому виду коммунальных услуг и периодически корректируются. Удельные расходы по потреблению коммунальных услуг отражают достаточный для поддержания жизнедеятельности объем потребления населением материального носителя коммунальных услуг. Охват потребителей услугами используется для оценки качества работы систем жизнеобеспечения.</w:t>
      </w:r>
    </w:p>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Надежность обслуживания систем жизнеобеспечения характеризует способность коммунальных объектов обеспечивать жизнедеятельность муниципального образования без существенного снижения качества среды обитания при любых воздействиях извне, то есть оценкой возможности функционирования коммунальных систем практически без аварий, повреждений, других нарушений в работе.</w:t>
      </w:r>
    </w:p>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Надежность работы объектов коммунальной инфраструктуры характеризуется обратной величиной – интенсивностью отказов (количеством аварий и повреждений на единицу масштаба объекта, например, на 1 км инженерных сетей); износом коммунальных сетей, протяженностью сетей, нуждающихся в замене; долей ежегодно заменяемых сетей; уровнем потерь и неучтенных расходов.</w:t>
      </w:r>
    </w:p>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Ресурсная эффективность определяет рациональность использования ресурсов, характеризуется следующими показателями: удельный расход электроэнергии, удельный расход топлива и так далее.</w:t>
      </w:r>
    </w:p>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Основанием могут быть производственная и инвестиционная программы организаций коммунального комплекса, осуществляющих данный вид деятельности, и утвержденные в них показатели.</w:t>
      </w:r>
      <w:r w:rsidRPr="00592BA7">
        <w:rPr>
          <w:rFonts w:ascii="Times New Roman" w:hAnsi="Times New Roman" w:cs="Times New Roman"/>
          <w:sz w:val="20"/>
          <w:szCs w:val="20"/>
          <w:lang w:eastAsia="ru-RU"/>
        </w:rPr>
        <w:footnoteReference w:id="3"/>
      </w:r>
    </w:p>
    <w:p w:rsidR="00171D1D" w:rsidRPr="00592BA7" w:rsidRDefault="00171D1D" w:rsidP="00592BA7">
      <w:pPr>
        <w:jc w:val="both"/>
        <w:rPr>
          <w:rFonts w:ascii="Times New Roman" w:hAnsi="Times New Roman" w:cs="Times New Roman"/>
          <w:sz w:val="20"/>
          <w:szCs w:val="20"/>
        </w:rPr>
        <w:sectPr w:rsidR="00171D1D" w:rsidRPr="00592BA7" w:rsidSect="00592BA7">
          <w:pgSz w:w="11906" w:h="16838"/>
          <w:pgMar w:top="1134" w:right="851" w:bottom="1134" w:left="1418" w:header="709" w:footer="459" w:gutter="0"/>
          <w:cols w:space="708"/>
          <w:titlePg/>
          <w:docGrid w:linePitch="360"/>
        </w:sectPr>
      </w:pP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Таблица 5.1</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Целевые индикаторы и показатели развития коммунальных систем</w:t>
      </w:r>
    </w:p>
    <w:tbl>
      <w:tblPr>
        <w:tblW w:w="15350" w:type="dxa"/>
        <w:tblInd w:w="-176" w:type="dxa"/>
        <w:tblLayout w:type="fixed"/>
        <w:tblLook w:val="04A0" w:firstRow="1" w:lastRow="0" w:firstColumn="1" w:lastColumn="0" w:noHBand="0" w:noVBand="1"/>
      </w:tblPr>
      <w:tblGrid>
        <w:gridCol w:w="738"/>
        <w:gridCol w:w="2161"/>
        <w:gridCol w:w="3430"/>
        <w:gridCol w:w="1560"/>
        <w:gridCol w:w="1078"/>
        <w:gridCol w:w="1037"/>
        <w:gridCol w:w="1037"/>
        <w:gridCol w:w="1037"/>
        <w:gridCol w:w="1037"/>
        <w:gridCol w:w="1037"/>
        <w:gridCol w:w="1198"/>
      </w:tblGrid>
      <w:tr w:rsidR="00171D1D" w:rsidRPr="00592BA7" w:rsidTr="00592BA7">
        <w:trPr>
          <w:trHeight w:val="20"/>
          <w:tblHeader/>
        </w:trPr>
        <w:tc>
          <w:tcPr>
            <w:tcW w:w="738" w:type="dxa"/>
            <w:vMerge w:val="restart"/>
            <w:tcBorders>
              <w:top w:val="single" w:sz="4" w:space="0" w:color="auto"/>
              <w:left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 </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пп</w:t>
            </w:r>
          </w:p>
        </w:tc>
        <w:tc>
          <w:tcPr>
            <w:tcW w:w="2161" w:type="dxa"/>
            <w:vMerge w:val="restart"/>
            <w:tcBorders>
              <w:top w:val="single" w:sz="4" w:space="0" w:color="auto"/>
              <w:left w:val="nil"/>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Индикатор мониторинга</w:t>
            </w:r>
          </w:p>
        </w:tc>
        <w:tc>
          <w:tcPr>
            <w:tcW w:w="3430" w:type="dxa"/>
            <w:vMerge w:val="restart"/>
            <w:tcBorders>
              <w:top w:val="single" w:sz="4" w:space="0" w:color="auto"/>
              <w:left w:val="nil"/>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Описание механизма расчёта</w:t>
            </w:r>
          </w:p>
        </w:tc>
        <w:tc>
          <w:tcPr>
            <w:tcW w:w="1560" w:type="dxa"/>
            <w:vMerge w:val="restart"/>
            <w:tcBorders>
              <w:top w:val="single" w:sz="4" w:space="0" w:color="auto"/>
              <w:left w:val="nil"/>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Ед. изм.</w:t>
            </w:r>
          </w:p>
        </w:tc>
        <w:tc>
          <w:tcPr>
            <w:tcW w:w="1078" w:type="dxa"/>
            <w:tcBorders>
              <w:top w:val="single" w:sz="4" w:space="0" w:color="auto"/>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Факт</w:t>
            </w:r>
          </w:p>
        </w:tc>
        <w:tc>
          <w:tcPr>
            <w:tcW w:w="6383" w:type="dxa"/>
            <w:gridSpan w:val="6"/>
            <w:tcBorders>
              <w:top w:val="single" w:sz="4" w:space="0" w:color="auto"/>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Плановые значения</w:t>
            </w:r>
          </w:p>
        </w:tc>
      </w:tr>
      <w:tr w:rsidR="00171D1D" w:rsidRPr="00592BA7" w:rsidTr="00592BA7">
        <w:trPr>
          <w:trHeight w:val="20"/>
          <w:tblHeader/>
        </w:trPr>
        <w:tc>
          <w:tcPr>
            <w:tcW w:w="738" w:type="dxa"/>
            <w:vMerge/>
            <w:tcBorders>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p>
        </w:tc>
        <w:tc>
          <w:tcPr>
            <w:tcW w:w="2161" w:type="dxa"/>
            <w:vMerge/>
            <w:tcBorders>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p>
        </w:tc>
        <w:tc>
          <w:tcPr>
            <w:tcW w:w="3430" w:type="dxa"/>
            <w:vMerge/>
            <w:tcBorders>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p>
        </w:tc>
        <w:tc>
          <w:tcPr>
            <w:tcW w:w="1560" w:type="dxa"/>
            <w:vMerge/>
            <w:tcBorders>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p>
        </w:tc>
        <w:tc>
          <w:tcPr>
            <w:tcW w:w="1078" w:type="dxa"/>
            <w:tcBorders>
              <w:top w:val="single" w:sz="4" w:space="0" w:color="auto"/>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2023 год</w:t>
            </w:r>
          </w:p>
        </w:tc>
        <w:tc>
          <w:tcPr>
            <w:tcW w:w="1037" w:type="dxa"/>
            <w:tcBorders>
              <w:top w:val="single" w:sz="4" w:space="0" w:color="auto"/>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2024 год</w:t>
            </w:r>
          </w:p>
        </w:tc>
        <w:tc>
          <w:tcPr>
            <w:tcW w:w="1037" w:type="dxa"/>
            <w:tcBorders>
              <w:top w:val="single" w:sz="4" w:space="0" w:color="auto"/>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2025 год</w:t>
            </w:r>
          </w:p>
        </w:tc>
        <w:tc>
          <w:tcPr>
            <w:tcW w:w="1037" w:type="dxa"/>
            <w:tcBorders>
              <w:top w:val="single" w:sz="4" w:space="0" w:color="auto"/>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2026 год</w:t>
            </w:r>
          </w:p>
        </w:tc>
        <w:tc>
          <w:tcPr>
            <w:tcW w:w="1037" w:type="dxa"/>
            <w:tcBorders>
              <w:top w:val="single" w:sz="4" w:space="0" w:color="auto"/>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2027 год</w:t>
            </w:r>
          </w:p>
        </w:tc>
        <w:tc>
          <w:tcPr>
            <w:tcW w:w="1037" w:type="dxa"/>
            <w:tcBorders>
              <w:top w:val="single" w:sz="4" w:space="0" w:color="auto"/>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2028 год</w:t>
            </w:r>
          </w:p>
        </w:tc>
        <w:tc>
          <w:tcPr>
            <w:tcW w:w="1198" w:type="dxa"/>
            <w:tcBorders>
              <w:top w:val="single" w:sz="4" w:space="0" w:color="auto"/>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2029- 2034 годы</w:t>
            </w:r>
          </w:p>
        </w:tc>
      </w:tr>
      <w:tr w:rsidR="00171D1D" w:rsidRPr="00592BA7"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w:t>
            </w:r>
          </w:p>
        </w:tc>
        <w:tc>
          <w:tcPr>
            <w:tcW w:w="14612" w:type="dxa"/>
            <w:gridSpan w:val="10"/>
            <w:tcBorders>
              <w:top w:val="single" w:sz="4" w:space="0" w:color="auto"/>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Система электроснабжения</w:t>
            </w:r>
          </w:p>
        </w:tc>
      </w:tr>
      <w:tr w:rsidR="00171D1D" w:rsidRPr="00592BA7"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1.1.</w:t>
            </w:r>
          </w:p>
        </w:tc>
        <w:tc>
          <w:tcPr>
            <w:tcW w:w="14612" w:type="dxa"/>
            <w:gridSpan w:val="10"/>
            <w:tcBorders>
              <w:top w:val="single" w:sz="4" w:space="0" w:color="auto"/>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Надёжность электроснабжения</w:t>
            </w:r>
          </w:p>
        </w:tc>
      </w:tr>
      <w:tr w:rsidR="00171D1D" w:rsidRPr="00592BA7"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1.1.1.</w:t>
            </w:r>
          </w:p>
        </w:tc>
        <w:tc>
          <w:tcPr>
            <w:tcW w:w="2161"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Аварийность системы электроснабжения</w:t>
            </w:r>
          </w:p>
        </w:tc>
        <w:tc>
          <w:tcPr>
            <w:tcW w:w="343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Отношение количества аварий на системах электроснабжения к протяженности сетей</w:t>
            </w:r>
          </w:p>
        </w:tc>
        <w:tc>
          <w:tcPr>
            <w:tcW w:w="156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ед./км.</w:t>
            </w:r>
          </w:p>
        </w:tc>
        <w:tc>
          <w:tcPr>
            <w:tcW w:w="107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0,00</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0,00</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0,00</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0,00</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0,00</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0,00</w:t>
            </w:r>
          </w:p>
        </w:tc>
        <w:tc>
          <w:tcPr>
            <w:tcW w:w="119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0,00</w:t>
            </w:r>
          </w:p>
        </w:tc>
      </w:tr>
      <w:tr w:rsidR="00171D1D" w:rsidRPr="00592BA7"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1.1.2.</w:t>
            </w:r>
          </w:p>
        </w:tc>
        <w:tc>
          <w:tcPr>
            <w:tcW w:w="2161"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Перебои в электроснабжении потребителей</w:t>
            </w:r>
          </w:p>
        </w:tc>
        <w:tc>
          <w:tcPr>
            <w:tcW w:w="343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Отношение суммы произведений продолжительности отключений и количества пострадавших потребителей от каждого из этих отключений к численности населения охваченного услугой</w:t>
            </w:r>
          </w:p>
        </w:tc>
        <w:tc>
          <w:tcPr>
            <w:tcW w:w="156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час. на одного человека</w:t>
            </w:r>
          </w:p>
        </w:tc>
        <w:tc>
          <w:tcPr>
            <w:tcW w:w="107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0,00</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0,00</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0,00</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0,00</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0,00</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0,00</w:t>
            </w:r>
          </w:p>
        </w:tc>
        <w:tc>
          <w:tcPr>
            <w:tcW w:w="119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0,00</w:t>
            </w:r>
          </w:p>
        </w:tc>
      </w:tr>
      <w:tr w:rsidR="00171D1D" w:rsidRPr="00592BA7"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1.1.3.</w:t>
            </w:r>
          </w:p>
        </w:tc>
        <w:tc>
          <w:tcPr>
            <w:tcW w:w="2161"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Уровень потерь</w:t>
            </w:r>
          </w:p>
        </w:tc>
        <w:tc>
          <w:tcPr>
            <w:tcW w:w="343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Отношение объема потерь к объему отпуска в сеть</w:t>
            </w:r>
          </w:p>
        </w:tc>
        <w:tc>
          <w:tcPr>
            <w:tcW w:w="156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c>
          <w:tcPr>
            <w:tcW w:w="107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0,00</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0,00</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0,00</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0,00</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0,00</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0,00</w:t>
            </w:r>
          </w:p>
        </w:tc>
        <w:tc>
          <w:tcPr>
            <w:tcW w:w="119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0,00</w:t>
            </w:r>
          </w:p>
        </w:tc>
      </w:tr>
      <w:tr w:rsidR="00171D1D" w:rsidRPr="00592BA7"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1.1.4.</w:t>
            </w:r>
          </w:p>
        </w:tc>
        <w:tc>
          <w:tcPr>
            <w:tcW w:w="2161"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Коэффициент потерь</w:t>
            </w:r>
          </w:p>
        </w:tc>
        <w:tc>
          <w:tcPr>
            <w:tcW w:w="343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Отношение объема потерь к протяженности сети</w:t>
            </w:r>
          </w:p>
        </w:tc>
        <w:tc>
          <w:tcPr>
            <w:tcW w:w="156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кВтч/км.</w:t>
            </w:r>
          </w:p>
        </w:tc>
        <w:tc>
          <w:tcPr>
            <w:tcW w:w="107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0,00</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0,00</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0,00</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0,00</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0,00</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0,00</w:t>
            </w:r>
          </w:p>
        </w:tc>
        <w:tc>
          <w:tcPr>
            <w:tcW w:w="119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0,00</w:t>
            </w:r>
          </w:p>
        </w:tc>
      </w:tr>
      <w:tr w:rsidR="00171D1D" w:rsidRPr="00592BA7"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1.1.5.</w:t>
            </w:r>
          </w:p>
        </w:tc>
        <w:tc>
          <w:tcPr>
            <w:tcW w:w="2161"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Удельный вес сетей, нуждающихся в замене</w:t>
            </w:r>
          </w:p>
        </w:tc>
        <w:tc>
          <w:tcPr>
            <w:tcW w:w="343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Отношение протяженности сетей, нуждающихся в замене, к протяженности сети</w:t>
            </w:r>
          </w:p>
        </w:tc>
        <w:tc>
          <w:tcPr>
            <w:tcW w:w="156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c>
          <w:tcPr>
            <w:tcW w:w="107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0,00</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0,00</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0,00</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0,00</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0,00</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0,00</w:t>
            </w:r>
          </w:p>
        </w:tc>
        <w:tc>
          <w:tcPr>
            <w:tcW w:w="119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0,00</w:t>
            </w:r>
          </w:p>
        </w:tc>
      </w:tr>
      <w:tr w:rsidR="00171D1D" w:rsidRPr="00592BA7"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1.2.</w:t>
            </w:r>
          </w:p>
        </w:tc>
        <w:tc>
          <w:tcPr>
            <w:tcW w:w="14612" w:type="dxa"/>
            <w:gridSpan w:val="10"/>
            <w:tcBorders>
              <w:top w:val="single" w:sz="4" w:space="0" w:color="auto"/>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Сбалансированность системы электроснабжения</w:t>
            </w:r>
          </w:p>
        </w:tc>
      </w:tr>
      <w:tr w:rsidR="00171D1D" w:rsidRPr="00592BA7" w:rsidTr="00592BA7">
        <w:trPr>
          <w:trHeight w:val="20"/>
        </w:trPr>
        <w:tc>
          <w:tcPr>
            <w:tcW w:w="738" w:type="dxa"/>
            <w:vMerge w:val="restart"/>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1.2.1.</w:t>
            </w:r>
          </w:p>
        </w:tc>
        <w:tc>
          <w:tcPr>
            <w:tcW w:w="2161" w:type="dxa"/>
            <w:vMerge w:val="restart"/>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Спрос на услуги электроснабжения</w:t>
            </w:r>
          </w:p>
        </w:tc>
        <w:tc>
          <w:tcPr>
            <w:tcW w:w="343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Потребление электрической энергии</w:t>
            </w:r>
          </w:p>
        </w:tc>
        <w:tc>
          <w:tcPr>
            <w:tcW w:w="156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млн. кВт∙ч</w:t>
            </w:r>
          </w:p>
        </w:tc>
        <w:tc>
          <w:tcPr>
            <w:tcW w:w="107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037" w:type="dxa"/>
            <w:tcBorders>
              <w:top w:val="nil"/>
              <w:left w:val="nil"/>
              <w:bottom w:val="single" w:sz="4" w:space="0" w:color="auto"/>
              <w:right w:val="single" w:sz="4" w:space="0" w:color="auto"/>
            </w:tcBorders>
            <w:shd w:val="clear" w:color="auto" w:fill="auto"/>
            <w:vAlign w:val="bottom"/>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5,41</w:t>
            </w:r>
          </w:p>
        </w:tc>
        <w:tc>
          <w:tcPr>
            <w:tcW w:w="1037" w:type="dxa"/>
            <w:tcBorders>
              <w:top w:val="nil"/>
              <w:left w:val="nil"/>
              <w:bottom w:val="single" w:sz="4" w:space="0" w:color="auto"/>
              <w:right w:val="single" w:sz="4" w:space="0" w:color="auto"/>
            </w:tcBorders>
            <w:shd w:val="clear" w:color="auto" w:fill="auto"/>
            <w:vAlign w:val="bottom"/>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lang w:val="en-US"/>
              </w:rPr>
              <w:t>5</w:t>
            </w:r>
            <w:r w:rsidRPr="00592BA7">
              <w:rPr>
                <w:rFonts w:ascii="Times New Roman" w:hAnsi="Times New Roman" w:cs="Times New Roman"/>
                <w:sz w:val="20"/>
                <w:szCs w:val="20"/>
              </w:rPr>
              <w:t>,49</w:t>
            </w:r>
          </w:p>
        </w:tc>
        <w:tc>
          <w:tcPr>
            <w:tcW w:w="1037" w:type="dxa"/>
            <w:tcBorders>
              <w:top w:val="nil"/>
              <w:left w:val="nil"/>
              <w:bottom w:val="single" w:sz="4" w:space="0" w:color="auto"/>
              <w:right w:val="single" w:sz="4" w:space="0" w:color="auto"/>
            </w:tcBorders>
            <w:shd w:val="clear" w:color="auto" w:fill="auto"/>
            <w:vAlign w:val="bottom"/>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5,56</w:t>
            </w:r>
          </w:p>
        </w:tc>
        <w:tc>
          <w:tcPr>
            <w:tcW w:w="1037" w:type="dxa"/>
            <w:tcBorders>
              <w:top w:val="nil"/>
              <w:left w:val="nil"/>
              <w:bottom w:val="single" w:sz="4" w:space="0" w:color="auto"/>
              <w:right w:val="single" w:sz="4" w:space="0" w:color="auto"/>
            </w:tcBorders>
            <w:shd w:val="clear" w:color="auto" w:fill="auto"/>
            <w:vAlign w:val="bottom"/>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5,64</w:t>
            </w:r>
          </w:p>
        </w:tc>
        <w:tc>
          <w:tcPr>
            <w:tcW w:w="1037" w:type="dxa"/>
            <w:tcBorders>
              <w:top w:val="nil"/>
              <w:left w:val="nil"/>
              <w:bottom w:val="single" w:sz="4" w:space="0" w:color="auto"/>
              <w:right w:val="single" w:sz="4" w:space="0" w:color="auto"/>
            </w:tcBorders>
            <w:shd w:val="clear" w:color="auto" w:fill="auto"/>
            <w:vAlign w:val="bottom"/>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5,80</w:t>
            </w:r>
          </w:p>
        </w:tc>
        <w:tc>
          <w:tcPr>
            <w:tcW w:w="1198" w:type="dxa"/>
            <w:tcBorders>
              <w:top w:val="nil"/>
              <w:left w:val="nil"/>
              <w:bottom w:val="single" w:sz="4" w:space="0" w:color="auto"/>
              <w:right w:val="single" w:sz="4" w:space="0" w:color="auto"/>
            </w:tcBorders>
            <w:shd w:val="clear" w:color="auto" w:fill="auto"/>
            <w:vAlign w:val="bottom"/>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6,18</w:t>
            </w:r>
          </w:p>
        </w:tc>
      </w:tr>
      <w:tr w:rsidR="00171D1D" w:rsidRPr="00592BA7" w:rsidTr="00592BA7">
        <w:trPr>
          <w:trHeight w:val="193"/>
        </w:trPr>
        <w:tc>
          <w:tcPr>
            <w:tcW w:w="738" w:type="dxa"/>
            <w:vMerge/>
            <w:tcBorders>
              <w:top w:val="nil"/>
              <w:left w:val="single" w:sz="4" w:space="0" w:color="auto"/>
              <w:bottom w:val="single" w:sz="4" w:space="0" w:color="auto"/>
              <w:right w:val="single" w:sz="4" w:space="0" w:color="auto"/>
            </w:tcBorders>
            <w:vAlign w:val="center"/>
            <w:hideMark/>
          </w:tcPr>
          <w:p w:rsidR="00171D1D" w:rsidRPr="00592BA7" w:rsidRDefault="00171D1D" w:rsidP="00592BA7">
            <w:pPr>
              <w:jc w:val="both"/>
              <w:rPr>
                <w:rFonts w:ascii="Times New Roman" w:hAnsi="Times New Roman" w:cs="Times New Roman"/>
                <w:sz w:val="20"/>
                <w:szCs w:val="20"/>
              </w:rPr>
            </w:pPr>
          </w:p>
        </w:tc>
        <w:tc>
          <w:tcPr>
            <w:tcW w:w="2161" w:type="dxa"/>
            <w:vMerge/>
            <w:tcBorders>
              <w:top w:val="nil"/>
              <w:left w:val="single" w:sz="4" w:space="0" w:color="auto"/>
              <w:bottom w:val="single" w:sz="4" w:space="0" w:color="auto"/>
              <w:right w:val="single" w:sz="4" w:space="0" w:color="auto"/>
            </w:tcBorders>
            <w:vAlign w:val="center"/>
            <w:hideMark/>
          </w:tcPr>
          <w:p w:rsidR="00171D1D" w:rsidRPr="00592BA7" w:rsidRDefault="00171D1D" w:rsidP="00592BA7">
            <w:pPr>
              <w:jc w:val="both"/>
              <w:rPr>
                <w:rFonts w:ascii="Times New Roman" w:hAnsi="Times New Roman" w:cs="Times New Roman"/>
                <w:sz w:val="20"/>
                <w:szCs w:val="20"/>
              </w:rPr>
            </w:pPr>
          </w:p>
        </w:tc>
        <w:tc>
          <w:tcPr>
            <w:tcW w:w="343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Присоединенная нагрузка</w:t>
            </w:r>
          </w:p>
        </w:tc>
        <w:tc>
          <w:tcPr>
            <w:tcW w:w="156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МВт</w:t>
            </w:r>
          </w:p>
        </w:tc>
        <w:tc>
          <w:tcPr>
            <w:tcW w:w="107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3726</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3712</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3699</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3685</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3672</w:t>
            </w:r>
          </w:p>
        </w:tc>
        <w:tc>
          <w:tcPr>
            <w:tcW w:w="119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3590</w:t>
            </w:r>
          </w:p>
        </w:tc>
      </w:tr>
      <w:tr w:rsidR="00171D1D" w:rsidRPr="00592BA7" w:rsidTr="00592BA7">
        <w:trPr>
          <w:trHeight w:val="20"/>
        </w:trPr>
        <w:tc>
          <w:tcPr>
            <w:tcW w:w="738" w:type="dxa"/>
            <w:vMerge/>
            <w:tcBorders>
              <w:top w:val="nil"/>
              <w:left w:val="single" w:sz="4" w:space="0" w:color="auto"/>
              <w:bottom w:val="single" w:sz="4" w:space="0" w:color="auto"/>
              <w:right w:val="single" w:sz="4" w:space="0" w:color="auto"/>
            </w:tcBorders>
            <w:vAlign w:val="center"/>
            <w:hideMark/>
          </w:tcPr>
          <w:p w:rsidR="00171D1D" w:rsidRPr="00592BA7" w:rsidRDefault="00171D1D" w:rsidP="00592BA7">
            <w:pPr>
              <w:jc w:val="both"/>
              <w:rPr>
                <w:rFonts w:ascii="Times New Roman" w:hAnsi="Times New Roman" w:cs="Times New Roman"/>
                <w:sz w:val="20"/>
                <w:szCs w:val="20"/>
              </w:rPr>
            </w:pPr>
          </w:p>
        </w:tc>
        <w:tc>
          <w:tcPr>
            <w:tcW w:w="2161" w:type="dxa"/>
            <w:vMerge/>
            <w:tcBorders>
              <w:top w:val="nil"/>
              <w:left w:val="single" w:sz="4" w:space="0" w:color="auto"/>
              <w:bottom w:val="single" w:sz="4" w:space="0" w:color="auto"/>
              <w:right w:val="single" w:sz="4" w:space="0" w:color="auto"/>
            </w:tcBorders>
            <w:vAlign w:val="center"/>
            <w:hideMark/>
          </w:tcPr>
          <w:p w:rsidR="00171D1D" w:rsidRPr="00592BA7" w:rsidRDefault="00171D1D" w:rsidP="00592BA7">
            <w:pPr>
              <w:jc w:val="both"/>
              <w:rPr>
                <w:rFonts w:ascii="Times New Roman" w:hAnsi="Times New Roman" w:cs="Times New Roman"/>
                <w:sz w:val="20"/>
                <w:szCs w:val="20"/>
              </w:rPr>
            </w:pPr>
          </w:p>
        </w:tc>
        <w:tc>
          <w:tcPr>
            <w:tcW w:w="343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Величина новых нагрузок</w:t>
            </w:r>
          </w:p>
        </w:tc>
        <w:tc>
          <w:tcPr>
            <w:tcW w:w="156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МВт</w:t>
            </w:r>
          </w:p>
        </w:tc>
        <w:tc>
          <w:tcPr>
            <w:tcW w:w="107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0,00</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0,00</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0,00</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0,00</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0,00</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0,00</w:t>
            </w:r>
          </w:p>
        </w:tc>
        <w:tc>
          <w:tcPr>
            <w:tcW w:w="119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0,00</w:t>
            </w:r>
          </w:p>
        </w:tc>
      </w:tr>
      <w:tr w:rsidR="00171D1D" w:rsidRPr="00592BA7" w:rsidTr="00592BA7">
        <w:trPr>
          <w:trHeight w:val="656"/>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1.2.2.</w:t>
            </w:r>
          </w:p>
        </w:tc>
        <w:tc>
          <w:tcPr>
            <w:tcW w:w="2161"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Уровень загрузки производственных мощностей</w:t>
            </w:r>
          </w:p>
        </w:tc>
        <w:tc>
          <w:tcPr>
            <w:tcW w:w="343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Отношение фактической производительности оборудования к установленной</w:t>
            </w:r>
          </w:p>
        </w:tc>
        <w:tc>
          <w:tcPr>
            <w:tcW w:w="156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c>
          <w:tcPr>
            <w:tcW w:w="107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19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r>
      <w:tr w:rsidR="00171D1D" w:rsidRPr="00592BA7"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1.3.</w:t>
            </w:r>
          </w:p>
        </w:tc>
        <w:tc>
          <w:tcPr>
            <w:tcW w:w="14612" w:type="dxa"/>
            <w:gridSpan w:val="10"/>
            <w:tcBorders>
              <w:top w:val="single" w:sz="4" w:space="0" w:color="auto"/>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Доступность услуги электроснабжения для потребителей</w:t>
            </w:r>
          </w:p>
        </w:tc>
      </w:tr>
      <w:tr w:rsidR="00171D1D" w:rsidRPr="00592BA7"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1.3.1.</w:t>
            </w:r>
          </w:p>
        </w:tc>
        <w:tc>
          <w:tcPr>
            <w:tcW w:w="2161"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Доля расходов на оплату услуг электроснабжения в совокупном доходе населения</w:t>
            </w:r>
          </w:p>
        </w:tc>
        <w:tc>
          <w:tcPr>
            <w:tcW w:w="343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Отношение среднемесячного платежа за услуги электроснабжения к среднемесячным денежным доходам населения</w:t>
            </w:r>
          </w:p>
        </w:tc>
        <w:tc>
          <w:tcPr>
            <w:tcW w:w="156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c>
          <w:tcPr>
            <w:tcW w:w="1078" w:type="dxa"/>
            <w:tcBorders>
              <w:top w:val="single" w:sz="4" w:space="0" w:color="auto"/>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w:t>
            </w:r>
          </w:p>
        </w:tc>
        <w:tc>
          <w:tcPr>
            <w:tcW w:w="1198"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w:t>
            </w:r>
          </w:p>
        </w:tc>
      </w:tr>
      <w:tr w:rsidR="00171D1D" w:rsidRPr="00592BA7"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1.3.2.</w:t>
            </w:r>
          </w:p>
        </w:tc>
        <w:tc>
          <w:tcPr>
            <w:tcW w:w="2161"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Удельное электропотребление</w:t>
            </w:r>
          </w:p>
        </w:tc>
        <w:tc>
          <w:tcPr>
            <w:tcW w:w="343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Отношение объема потребления электроэнергии к численности населения</w:t>
            </w:r>
          </w:p>
        </w:tc>
        <w:tc>
          <w:tcPr>
            <w:tcW w:w="156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кВтч/чел в год</w:t>
            </w:r>
          </w:p>
        </w:tc>
        <w:tc>
          <w:tcPr>
            <w:tcW w:w="1078" w:type="dxa"/>
            <w:tcBorders>
              <w:top w:val="single" w:sz="4" w:space="0" w:color="auto"/>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950</w:t>
            </w:r>
          </w:p>
        </w:tc>
        <w:tc>
          <w:tcPr>
            <w:tcW w:w="1037" w:type="dxa"/>
            <w:tcBorders>
              <w:top w:val="single" w:sz="4" w:space="0" w:color="auto"/>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950</w:t>
            </w:r>
          </w:p>
        </w:tc>
        <w:tc>
          <w:tcPr>
            <w:tcW w:w="1037" w:type="dxa"/>
            <w:tcBorders>
              <w:top w:val="single" w:sz="4" w:space="0" w:color="auto"/>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950</w:t>
            </w:r>
          </w:p>
        </w:tc>
        <w:tc>
          <w:tcPr>
            <w:tcW w:w="1037" w:type="dxa"/>
            <w:tcBorders>
              <w:top w:val="single" w:sz="4" w:space="0" w:color="auto"/>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950</w:t>
            </w:r>
          </w:p>
        </w:tc>
        <w:tc>
          <w:tcPr>
            <w:tcW w:w="1037" w:type="dxa"/>
            <w:tcBorders>
              <w:top w:val="single" w:sz="4" w:space="0" w:color="auto"/>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950</w:t>
            </w:r>
          </w:p>
        </w:tc>
        <w:tc>
          <w:tcPr>
            <w:tcW w:w="1037" w:type="dxa"/>
            <w:tcBorders>
              <w:top w:val="single" w:sz="4" w:space="0" w:color="auto"/>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950</w:t>
            </w:r>
          </w:p>
        </w:tc>
        <w:tc>
          <w:tcPr>
            <w:tcW w:w="1198" w:type="dxa"/>
            <w:tcBorders>
              <w:top w:val="single" w:sz="4" w:space="0" w:color="auto"/>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950</w:t>
            </w:r>
          </w:p>
        </w:tc>
      </w:tr>
      <w:tr w:rsidR="00171D1D" w:rsidRPr="00592BA7"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1.4.</w:t>
            </w:r>
          </w:p>
        </w:tc>
        <w:tc>
          <w:tcPr>
            <w:tcW w:w="14612" w:type="dxa"/>
            <w:gridSpan w:val="10"/>
            <w:tcBorders>
              <w:top w:val="single" w:sz="4" w:space="0" w:color="auto"/>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Эффективность деятельности</w:t>
            </w:r>
          </w:p>
        </w:tc>
      </w:tr>
      <w:tr w:rsidR="00171D1D" w:rsidRPr="00592BA7"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1.4.1.</w:t>
            </w:r>
          </w:p>
        </w:tc>
        <w:tc>
          <w:tcPr>
            <w:tcW w:w="2161"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Производительность труда </w:t>
            </w:r>
          </w:p>
        </w:tc>
        <w:tc>
          <w:tcPr>
            <w:tcW w:w="343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Отношение объема электроснабжения к численности персонала</w:t>
            </w:r>
          </w:p>
        </w:tc>
        <w:tc>
          <w:tcPr>
            <w:tcW w:w="156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млн. кВт∙ч/тыс. чел.</w:t>
            </w:r>
          </w:p>
        </w:tc>
        <w:tc>
          <w:tcPr>
            <w:tcW w:w="107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0,275</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0,279</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0,283</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0,287</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0,295</w:t>
            </w:r>
          </w:p>
        </w:tc>
        <w:tc>
          <w:tcPr>
            <w:tcW w:w="119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0,314</w:t>
            </w:r>
          </w:p>
        </w:tc>
      </w:tr>
      <w:tr w:rsidR="00171D1D" w:rsidRPr="00592BA7"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1.4.2.</w:t>
            </w:r>
          </w:p>
        </w:tc>
        <w:tc>
          <w:tcPr>
            <w:tcW w:w="2161"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Эффективность использования персонала</w:t>
            </w:r>
          </w:p>
        </w:tc>
        <w:tc>
          <w:tcPr>
            <w:tcW w:w="343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Отношение численности персонала к протяженности сетей</w:t>
            </w:r>
          </w:p>
        </w:tc>
        <w:tc>
          <w:tcPr>
            <w:tcW w:w="156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чел/км</w:t>
            </w:r>
          </w:p>
        </w:tc>
        <w:tc>
          <w:tcPr>
            <w:tcW w:w="107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19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r>
      <w:tr w:rsidR="00171D1D" w:rsidRPr="00592BA7"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w:t>
            </w:r>
          </w:p>
        </w:tc>
        <w:tc>
          <w:tcPr>
            <w:tcW w:w="14612" w:type="dxa"/>
            <w:gridSpan w:val="10"/>
            <w:tcBorders>
              <w:top w:val="single" w:sz="4" w:space="0" w:color="auto"/>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Система теплоснабжения</w:t>
            </w:r>
          </w:p>
        </w:tc>
      </w:tr>
      <w:tr w:rsidR="00171D1D" w:rsidRPr="00592BA7"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2.1.</w:t>
            </w:r>
          </w:p>
        </w:tc>
        <w:tc>
          <w:tcPr>
            <w:tcW w:w="14612" w:type="dxa"/>
            <w:gridSpan w:val="10"/>
            <w:tcBorders>
              <w:top w:val="single" w:sz="4" w:space="0" w:color="auto"/>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Надежность системы теплоснабжения</w:t>
            </w:r>
          </w:p>
        </w:tc>
      </w:tr>
      <w:tr w:rsidR="00171D1D" w:rsidRPr="00592BA7"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2.1.1.</w:t>
            </w:r>
          </w:p>
        </w:tc>
        <w:tc>
          <w:tcPr>
            <w:tcW w:w="2161"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Перебои в теплоснабжении потребителей </w:t>
            </w:r>
          </w:p>
        </w:tc>
        <w:tc>
          <w:tcPr>
            <w:tcW w:w="343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Отношение суммы произведений продолжительности отключений и количества пострадавших потребителей от каждого из этих отключений к численности населения охваченного услугой</w:t>
            </w:r>
          </w:p>
        </w:tc>
        <w:tc>
          <w:tcPr>
            <w:tcW w:w="156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час. на одного человека</w:t>
            </w:r>
          </w:p>
        </w:tc>
        <w:tc>
          <w:tcPr>
            <w:tcW w:w="107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0,00</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0,00</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0,00</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0,00</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0,00</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0,00</w:t>
            </w:r>
          </w:p>
        </w:tc>
        <w:tc>
          <w:tcPr>
            <w:tcW w:w="119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0,00</w:t>
            </w:r>
          </w:p>
        </w:tc>
      </w:tr>
      <w:tr w:rsidR="00171D1D" w:rsidRPr="00592BA7"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2.1.2.</w:t>
            </w:r>
          </w:p>
        </w:tc>
        <w:tc>
          <w:tcPr>
            <w:tcW w:w="2161"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Аварийность системы теплоснабжения</w:t>
            </w:r>
          </w:p>
        </w:tc>
        <w:tc>
          <w:tcPr>
            <w:tcW w:w="343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Отношение количества аварий на системах коммунальной инфраструктуры к протяженности сетей</w:t>
            </w:r>
          </w:p>
        </w:tc>
        <w:tc>
          <w:tcPr>
            <w:tcW w:w="156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ед./км.</w:t>
            </w:r>
          </w:p>
        </w:tc>
        <w:tc>
          <w:tcPr>
            <w:tcW w:w="107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0,00</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0,00</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0,00</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0,00</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0,00</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0,00</w:t>
            </w:r>
          </w:p>
        </w:tc>
        <w:tc>
          <w:tcPr>
            <w:tcW w:w="119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0,00</w:t>
            </w:r>
          </w:p>
        </w:tc>
      </w:tr>
      <w:tr w:rsidR="00171D1D" w:rsidRPr="00592BA7"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2.1.3.</w:t>
            </w:r>
          </w:p>
        </w:tc>
        <w:tc>
          <w:tcPr>
            <w:tcW w:w="2161"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Уровень потерь</w:t>
            </w:r>
          </w:p>
        </w:tc>
        <w:tc>
          <w:tcPr>
            <w:tcW w:w="343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Отношение объема потерь к объему отпуска в сеть</w:t>
            </w:r>
          </w:p>
        </w:tc>
        <w:tc>
          <w:tcPr>
            <w:tcW w:w="156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c>
          <w:tcPr>
            <w:tcW w:w="1078" w:type="dxa"/>
            <w:tcBorders>
              <w:top w:val="single" w:sz="4" w:space="0" w:color="auto"/>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198"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r>
      <w:tr w:rsidR="00171D1D" w:rsidRPr="00592BA7"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2.1.4.</w:t>
            </w:r>
          </w:p>
        </w:tc>
        <w:tc>
          <w:tcPr>
            <w:tcW w:w="2161"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Коэффициент потерь</w:t>
            </w:r>
          </w:p>
        </w:tc>
        <w:tc>
          <w:tcPr>
            <w:tcW w:w="343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Отношение величины технологических потерь тепловой энергии, теплоносителя к материальной характеристике тепловой сети</w:t>
            </w:r>
          </w:p>
        </w:tc>
        <w:tc>
          <w:tcPr>
            <w:tcW w:w="156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Гкал/кв.м.</w:t>
            </w:r>
          </w:p>
        </w:tc>
        <w:tc>
          <w:tcPr>
            <w:tcW w:w="1078" w:type="dxa"/>
            <w:tcBorders>
              <w:top w:val="single" w:sz="4" w:space="0" w:color="auto"/>
              <w:left w:val="single" w:sz="4" w:space="0" w:color="000000"/>
              <w:bottom w:val="single" w:sz="4" w:space="0" w:color="auto"/>
              <w:right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037" w:type="dxa"/>
            <w:tcBorders>
              <w:top w:val="single" w:sz="4" w:space="0" w:color="auto"/>
              <w:left w:val="single" w:sz="4" w:space="0" w:color="000000"/>
              <w:bottom w:val="single" w:sz="4" w:space="0" w:color="auto"/>
              <w:right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037" w:type="dxa"/>
            <w:tcBorders>
              <w:top w:val="single" w:sz="4" w:space="0" w:color="auto"/>
              <w:left w:val="single" w:sz="4" w:space="0" w:color="000000"/>
              <w:bottom w:val="single" w:sz="4" w:space="0" w:color="auto"/>
              <w:right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037" w:type="dxa"/>
            <w:tcBorders>
              <w:top w:val="single" w:sz="4" w:space="0" w:color="auto"/>
              <w:left w:val="single" w:sz="4" w:space="0" w:color="000000"/>
              <w:bottom w:val="single" w:sz="4" w:space="0" w:color="auto"/>
              <w:right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037" w:type="dxa"/>
            <w:tcBorders>
              <w:top w:val="single" w:sz="4" w:space="0" w:color="auto"/>
              <w:left w:val="single" w:sz="4" w:space="0" w:color="000000"/>
              <w:bottom w:val="single" w:sz="4" w:space="0" w:color="auto"/>
              <w:right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037" w:type="dxa"/>
            <w:tcBorders>
              <w:top w:val="single" w:sz="4" w:space="0" w:color="auto"/>
              <w:left w:val="single" w:sz="4" w:space="0" w:color="000000"/>
              <w:bottom w:val="single" w:sz="4" w:space="0" w:color="auto"/>
              <w:right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198" w:type="dxa"/>
            <w:tcBorders>
              <w:top w:val="single" w:sz="4" w:space="0" w:color="auto"/>
              <w:left w:val="single" w:sz="4" w:space="0" w:color="000000"/>
              <w:bottom w:val="single" w:sz="4" w:space="0" w:color="auto"/>
              <w:right w:val="single" w:sz="4" w:space="0" w:color="000000"/>
            </w:tcBorders>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r>
      <w:tr w:rsidR="00171D1D" w:rsidRPr="00592BA7"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2.1.3.</w:t>
            </w:r>
          </w:p>
        </w:tc>
        <w:tc>
          <w:tcPr>
            <w:tcW w:w="2161"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Удельный вес сетей, нуждающихся в замене</w:t>
            </w:r>
          </w:p>
        </w:tc>
        <w:tc>
          <w:tcPr>
            <w:tcW w:w="343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Отношение протяженности сетей, нуждающихся в замене, к протяженности сети</w:t>
            </w:r>
          </w:p>
        </w:tc>
        <w:tc>
          <w:tcPr>
            <w:tcW w:w="156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c>
          <w:tcPr>
            <w:tcW w:w="1078" w:type="dxa"/>
            <w:tcBorders>
              <w:top w:val="single" w:sz="4" w:space="0" w:color="auto"/>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198"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r>
      <w:tr w:rsidR="00171D1D" w:rsidRPr="00592BA7"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2.2.</w:t>
            </w:r>
          </w:p>
        </w:tc>
        <w:tc>
          <w:tcPr>
            <w:tcW w:w="14612" w:type="dxa"/>
            <w:gridSpan w:val="10"/>
            <w:tcBorders>
              <w:top w:val="single" w:sz="4" w:space="0" w:color="auto"/>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Сбалансированность системы теплоснабжения</w:t>
            </w:r>
          </w:p>
        </w:tc>
      </w:tr>
      <w:tr w:rsidR="00171D1D" w:rsidRPr="00592BA7" w:rsidTr="00592BA7">
        <w:trPr>
          <w:trHeight w:val="20"/>
        </w:trPr>
        <w:tc>
          <w:tcPr>
            <w:tcW w:w="738" w:type="dxa"/>
            <w:vMerge w:val="restart"/>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2.2.1.</w:t>
            </w:r>
          </w:p>
        </w:tc>
        <w:tc>
          <w:tcPr>
            <w:tcW w:w="2161" w:type="dxa"/>
            <w:vMerge w:val="restart"/>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Показатели спроса на услуги теплоснабжения: </w:t>
            </w:r>
            <w:r w:rsidRPr="00592BA7">
              <w:rPr>
                <w:rFonts w:ascii="Times New Roman" w:hAnsi="Times New Roman" w:cs="Times New Roman"/>
                <w:sz w:val="20"/>
                <w:szCs w:val="20"/>
              </w:rPr>
              <w:lastRenderedPageBreak/>
              <w:t>обеспечение сбалансированности систем теплоснабжения</w:t>
            </w:r>
          </w:p>
        </w:tc>
        <w:tc>
          <w:tcPr>
            <w:tcW w:w="343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Потребление тепловой энергии</w:t>
            </w:r>
          </w:p>
        </w:tc>
        <w:tc>
          <w:tcPr>
            <w:tcW w:w="156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Гкал</w:t>
            </w:r>
          </w:p>
        </w:tc>
        <w:tc>
          <w:tcPr>
            <w:tcW w:w="1078" w:type="dxa"/>
            <w:tcBorders>
              <w:top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1354,4</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1354,4</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1354,4</w:t>
            </w:r>
          </w:p>
        </w:tc>
        <w:tc>
          <w:tcPr>
            <w:tcW w:w="1037" w:type="dxa"/>
            <w:tcBorders>
              <w:top w:val="single" w:sz="4" w:space="0" w:color="auto"/>
              <w:left w:val="single" w:sz="4" w:space="0" w:color="auto"/>
              <w:bottom w:val="single" w:sz="4" w:space="0" w:color="auto"/>
              <w:right w:val="single" w:sz="4" w:space="0" w:color="auto"/>
            </w:tcBorders>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1354,4</w:t>
            </w:r>
          </w:p>
        </w:tc>
        <w:tc>
          <w:tcPr>
            <w:tcW w:w="1037" w:type="dxa"/>
            <w:tcBorders>
              <w:top w:val="single" w:sz="4" w:space="0" w:color="auto"/>
              <w:left w:val="single" w:sz="4" w:space="0" w:color="auto"/>
              <w:bottom w:val="single" w:sz="4" w:space="0" w:color="auto"/>
              <w:right w:val="single" w:sz="4" w:space="0" w:color="auto"/>
            </w:tcBorders>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1354,4</w:t>
            </w:r>
          </w:p>
        </w:tc>
        <w:tc>
          <w:tcPr>
            <w:tcW w:w="1037" w:type="dxa"/>
            <w:tcBorders>
              <w:top w:val="single" w:sz="4" w:space="0" w:color="auto"/>
              <w:left w:val="single" w:sz="4" w:space="0" w:color="auto"/>
              <w:bottom w:val="single" w:sz="4" w:space="0" w:color="auto"/>
              <w:right w:val="single" w:sz="4" w:space="0" w:color="auto"/>
            </w:tcBorders>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1354,4</w:t>
            </w:r>
          </w:p>
        </w:tc>
        <w:tc>
          <w:tcPr>
            <w:tcW w:w="1198" w:type="dxa"/>
            <w:tcBorders>
              <w:top w:val="single" w:sz="4" w:space="0" w:color="auto"/>
              <w:left w:val="single" w:sz="4" w:space="0" w:color="auto"/>
              <w:bottom w:val="single" w:sz="4" w:space="0" w:color="auto"/>
              <w:right w:val="single" w:sz="4" w:space="0" w:color="auto"/>
            </w:tcBorders>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1354,4</w:t>
            </w:r>
          </w:p>
        </w:tc>
      </w:tr>
      <w:tr w:rsidR="00171D1D" w:rsidRPr="00592BA7" w:rsidTr="00592BA7">
        <w:trPr>
          <w:trHeight w:val="20"/>
        </w:trPr>
        <w:tc>
          <w:tcPr>
            <w:tcW w:w="738" w:type="dxa"/>
            <w:vMerge/>
            <w:tcBorders>
              <w:top w:val="nil"/>
              <w:left w:val="single" w:sz="4" w:space="0" w:color="auto"/>
              <w:bottom w:val="single" w:sz="4" w:space="0" w:color="auto"/>
              <w:right w:val="single" w:sz="4" w:space="0" w:color="auto"/>
            </w:tcBorders>
            <w:vAlign w:val="center"/>
            <w:hideMark/>
          </w:tcPr>
          <w:p w:rsidR="00171D1D" w:rsidRPr="00592BA7" w:rsidRDefault="00171D1D" w:rsidP="00592BA7">
            <w:pPr>
              <w:jc w:val="both"/>
              <w:rPr>
                <w:rFonts w:ascii="Times New Roman" w:hAnsi="Times New Roman" w:cs="Times New Roman"/>
                <w:sz w:val="20"/>
                <w:szCs w:val="20"/>
              </w:rPr>
            </w:pPr>
          </w:p>
        </w:tc>
        <w:tc>
          <w:tcPr>
            <w:tcW w:w="2161" w:type="dxa"/>
            <w:vMerge/>
            <w:tcBorders>
              <w:top w:val="nil"/>
              <w:left w:val="single" w:sz="4" w:space="0" w:color="auto"/>
              <w:bottom w:val="single" w:sz="4" w:space="0" w:color="auto"/>
              <w:right w:val="single" w:sz="4" w:space="0" w:color="auto"/>
            </w:tcBorders>
            <w:vAlign w:val="center"/>
            <w:hideMark/>
          </w:tcPr>
          <w:p w:rsidR="00171D1D" w:rsidRPr="00592BA7" w:rsidRDefault="00171D1D" w:rsidP="00592BA7">
            <w:pPr>
              <w:jc w:val="both"/>
              <w:rPr>
                <w:rFonts w:ascii="Times New Roman" w:hAnsi="Times New Roman" w:cs="Times New Roman"/>
                <w:sz w:val="20"/>
                <w:szCs w:val="20"/>
              </w:rPr>
            </w:pPr>
          </w:p>
        </w:tc>
        <w:tc>
          <w:tcPr>
            <w:tcW w:w="343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Присоединенная нагрузка</w:t>
            </w:r>
          </w:p>
        </w:tc>
        <w:tc>
          <w:tcPr>
            <w:tcW w:w="156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Гкал/ч</w:t>
            </w:r>
          </w:p>
        </w:tc>
        <w:tc>
          <w:tcPr>
            <w:tcW w:w="1078" w:type="dxa"/>
            <w:tcBorders>
              <w:top w:val="nil"/>
              <w:left w:val="nil"/>
              <w:bottom w:val="single" w:sz="4" w:space="0" w:color="auto"/>
              <w:right w:val="single" w:sz="4" w:space="0" w:color="auto"/>
            </w:tcBorders>
            <w:shd w:val="clear" w:color="auto" w:fill="auto"/>
            <w:vAlign w:val="bottom"/>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0,758</w:t>
            </w:r>
          </w:p>
        </w:tc>
        <w:tc>
          <w:tcPr>
            <w:tcW w:w="1037" w:type="dxa"/>
            <w:tcBorders>
              <w:top w:val="nil"/>
              <w:left w:val="nil"/>
              <w:bottom w:val="single" w:sz="4" w:space="0" w:color="auto"/>
              <w:right w:val="single" w:sz="4" w:space="0" w:color="auto"/>
            </w:tcBorders>
            <w:shd w:val="clear" w:color="auto" w:fill="auto"/>
            <w:vAlign w:val="bottom"/>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0,758</w:t>
            </w:r>
          </w:p>
        </w:tc>
        <w:tc>
          <w:tcPr>
            <w:tcW w:w="1037" w:type="dxa"/>
            <w:tcBorders>
              <w:top w:val="nil"/>
              <w:left w:val="nil"/>
              <w:bottom w:val="single" w:sz="4" w:space="0" w:color="auto"/>
              <w:right w:val="single" w:sz="4" w:space="0" w:color="auto"/>
            </w:tcBorders>
            <w:shd w:val="clear" w:color="auto" w:fill="auto"/>
            <w:vAlign w:val="bottom"/>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0,758</w:t>
            </w:r>
          </w:p>
        </w:tc>
        <w:tc>
          <w:tcPr>
            <w:tcW w:w="1037" w:type="dxa"/>
            <w:tcBorders>
              <w:top w:val="nil"/>
              <w:left w:val="nil"/>
              <w:bottom w:val="single" w:sz="4" w:space="0" w:color="auto"/>
              <w:right w:val="single" w:sz="4" w:space="0" w:color="auto"/>
            </w:tcBorders>
            <w:shd w:val="clear" w:color="auto" w:fill="auto"/>
            <w:vAlign w:val="bottom"/>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0,758</w:t>
            </w:r>
          </w:p>
        </w:tc>
        <w:tc>
          <w:tcPr>
            <w:tcW w:w="1037" w:type="dxa"/>
            <w:tcBorders>
              <w:top w:val="nil"/>
              <w:left w:val="nil"/>
              <w:bottom w:val="single" w:sz="4" w:space="0" w:color="auto"/>
              <w:right w:val="single" w:sz="4" w:space="0" w:color="auto"/>
            </w:tcBorders>
            <w:shd w:val="clear" w:color="auto" w:fill="auto"/>
            <w:vAlign w:val="bottom"/>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0,758</w:t>
            </w:r>
          </w:p>
        </w:tc>
        <w:tc>
          <w:tcPr>
            <w:tcW w:w="1037" w:type="dxa"/>
            <w:tcBorders>
              <w:top w:val="nil"/>
              <w:left w:val="nil"/>
              <w:bottom w:val="single" w:sz="4" w:space="0" w:color="auto"/>
              <w:right w:val="single" w:sz="4" w:space="0" w:color="auto"/>
            </w:tcBorders>
            <w:shd w:val="clear" w:color="auto" w:fill="auto"/>
            <w:vAlign w:val="bottom"/>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0,758</w:t>
            </w:r>
          </w:p>
        </w:tc>
        <w:tc>
          <w:tcPr>
            <w:tcW w:w="1198" w:type="dxa"/>
            <w:tcBorders>
              <w:top w:val="nil"/>
              <w:left w:val="nil"/>
              <w:bottom w:val="single" w:sz="4" w:space="0" w:color="auto"/>
              <w:right w:val="single" w:sz="4" w:space="0" w:color="auto"/>
            </w:tcBorders>
            <w:shd w:val="clear" w:color="auto" w:fill="auto"/>
            <w:vAlign w:val="bottom"/>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0,758</w:t>
            </w:r>
          </w:p>
        </w:tc>
      </w:tr>
      <w:tr w:rsidR="00171D1D" w:rsidRPr="00592BA7" w:rsidTr="00592BA7">
        <w:trPr>
          <w:trHeight w:val="20"/>
        </w:trPr>
        <w:tc>
          <w:tcPr>
            <w:tcW w:w="738" w:type="dxa"/>
            <w:vMerge/>
            <w:tcBorders>
              <w:top w:val="nil"/>
              <w:left w:val="single" w:sz="4" w:space="0" w:color="auto"/>
              <w:bottom w:val="single" w:sz="4" w:space="0" w:color="auto"/>
              <w:right w:val="single" w:sz="4" w:space="0" w:color="auto"/>
            </w:tcBorders>
            <w:vAlign w:val="center"/>
            <w:hideMark/>
          </w:tcPr>
          <w:p w:rsidR="00171D1D" w:rsidRPr="00592BA7" w:rsidRDefault="00171D1D" w:rsidP="00592BA7">
            <w:pPr>
              <w:jc w:val="both"/>
              <w:rPr>
                <w:rFonts w:ascii="Times New Roman" w:hAnsi="Times New Roman" w:cs="Times New Roman"/>
                <w:sz w:val="20"/>
                <w:szCs w:val="20"/>
              </w:rPr>
            </w:pPr>
          </w:p>
        </w:tc>
        <w:tc>
          <w:tcPr>
            <w:tcW w:w="2161" w:type="dxa"/>
            <w:vMerge/>
            <w:tcBorders>
              <w:top w:val="nil"/>
              <w:left w:val="single" w:sz="4" w:space="0" w:color="auto"/>
              <w:bottom w:val="single" w:sz="4" w:space="0" w:color="auto"/>
              <w:right w:val="single" w:sz="4" w:space="0" w:color="auto"/>
            </w:tcBorders>
            <w:vAlign w:val="center"/>
            <w:hideMark/>
          </w:tcPr>
          <w:p w:rsidR="00171D1D" w:rsidRPr="00592BA7" w:rsidRDefault="00171D1D" w:rsidP="00592BA7">
            <w:pPr>
              <w:jc w:val="both"/>
              <w:rPr>
                <w:rFonts w:ascii="Times New Roman" w:hAnsi="Times New Roman" w:cs="Times New Roman"/>
                <w:sz w:val="20"/>
                <w:szCs w:val="20"/>
              </w:rPr>
            </w:pPr>
          </w:p>
        </w:tc>
        <w:tc>
          <w:tcPr>
            <w:tcW w:w="343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Величина новых нагрузок</w:t>
            </w:r>
          </w:p>
        </w:tc>
        <w:tc>
          <w:tcPr>
            <w:tcW w:w="156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Гкал/ч</w:t>
            </w:r>
          </w:p>
        </w:tc>
        <w:tc>
          <w:tcPr>
            <w:tcW w:w="1078" w:type="dxa"/>
            <w:tcBorders>
              <w:top w:val="single" w:sz="4" w:space="0" w:color="auto"/>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0,000</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0,000</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0,320</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0,000</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0,000</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0,000</w:t>
            </w:r>
          </w:p>
        </w:tc>
        <w:tc>
          <w:tcPr>
            <w:tcW w:w="1198"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0,000</w:t>
            </w:r>
          </w:p>
        </w:tc>
      </w:tr>
      <w:tr w:rsidR="00171D1D" w:rsidRPr="00592BA7"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2.2.2.</w:t>
            </w:r>
          </w:p>
        </w:tc>
        <w:tc>
          <w:tcPr>
            <w:tcW w:w="2161"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Уровень загрузки производственных мощностей</w:t>
            </w:r>
          </w:p>
        </w:tc>
        <w:tc>
          <w:tcPr>
            <w:tcW w:w="343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Отношение фактической производительности оборудования к установленной</w:t>
            </w:r>
          </w:p>
        </w:tc>
        <w:tc>
          <w:tcPr>
            <w:tcW w:w="156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c>
          <w:tcPr>
            <w:tcW w:w="1078" w:type="dxa"/>
            <w:tcBorders>
              <w:top w:val="single" w:sz="4" w:space="0" w:color="auto"/>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w:t>
            </w:r>
          </w:p>
        </w:tc>
        <w:tc>
          <w:tcPr>
            <w:tcW w:w="1037" w:type="dxa"/>
            <w:tcBorders>
              <w:top w:val="single" w:sz="4" w:space="0" w:color="auto"/>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w:t>
            </w:r>
          </w:p>
        </w:tc>
        <w:tc>
          <w:tcPr>
            <w:tcW w:w="1037" w:type="dxa"/>
            <w:tcBorders>
              <w:top w:val="single" w:sz="4" w:space="0" w:color="auto"/>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w:t>
            </w:r>
          </w:p>
        </w:tc>
        <w:tc>
          <w:tcPr>
            <w:tcW w:w="1037" w:type="dxa"/>
            <w:tcBorders>
              <w:top w:val="single" w:sz="4" w:space="0" w:color="auto"/>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w:t>
            </w:r>
          </w:p>
        </w:tc>
        <w:tc>
          <w:tcPr>
            <w:tcW w:w="1037" w:type="dxa"/>
            <w:tcBorders>
              <w:top w:val="single" w:sz="4" w:space="0" w:color="auto"/>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w:t>
            </w:r>
          </w:p>
        </w:tc>
        <w:tc>
          <w:tcPr>
            <w:tcW w:w="1037" w:type="dxa"/>
            <w:tcBorders>
              <w:top w:val="single" w:sz="4" w:space="0" w:color="auto"/>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w:t>
            </w:r>
          </w:p>
        </w:tc>
        <w:tc>
          <w:tcPr>
            <w:tcW w:w="1198" w:type="dxa"/>
            <w:tcBorders>
              <w:top w:val="single" w:sz="4" w:space="0" w:color="auto"/>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w:t>
            </w:r>
          </w:p>
        </w:tc>
      </w:tr>
      <w:tr w:rsidR="00171D1D" w:rsidRPr="00592BA7"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2.2.3.</w:t>
            </w:r>
          </w:p>
        </w:tc>
        <w:tc>
          <w:tcPr>
            <w:tcW w:w="2161"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Обеспеченность потребления тепловой энергии приборами учета</w:t>
            </w:r>
          </w:p>
        </w:tc>
        <w:tc>
          <w:tcPr>
            <w:tcW w:w="343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Отношение объема тепловой энергии, реализованной по приборам учета, к общему объему реализации тепловой энергии</w:t>
            </w:r>
          </w:p>
        </w:tc>
        <w:tc>
          <w:tcPr>
            <w:tcW w:w="156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c>
          <w:tcPr>
            <w:tcW w:w="107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28,1</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29</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30</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31</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32</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33</w:t>
            </w:r>
          </w:p>
        </w:tc>
        <w:tc>
          <w:tcPr>
            <w:tcW w:w="119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34</w:t>
            </w:r>
          </w:p>
        </w:tc>
      </w:tr>
      <w:tr w:rsidR="00171D1D" w:rsidRPr="00592BA7"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2.3.</w:t>
            </w:r>
          </w:p>
        </w:tc>
        <w:tc>
          <w:tcPr>
            <w:tcW w:w="14612" w:type="dxa"/>
            <w:gridSpan w:val="10"/>
            <w:tcBorders>
              <w:top w:val="single" w:sz="4" w:space="0" w:color="auto"/>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Доступность услуги теплоснабжения для потребителей</w:t>
            </w:r>
          </w:p>
        </w:tc>
      </w:tr>
      <w:tr w:rsidR="00171D1D" w:rsidRPr="00592BA7"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2.3.1.</w:t>
            </w:r>
          </w:p>
        </w:tc>
        <w:tc>
          <w:tcPr>
            <w:tcW w:w="2161"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Доля расходов на оплату услуг теплоснабжения в совокупном доходе населения</w:t>
            </w:r>
          </w:p>
        </w:tc>
        <w:tc>
          <w:tcPr>
            <w:tcW w:w="343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Отношение среднемесячного платежа за услуги теплоснабжения к среднемесячным денежным доходам населения, обеспеченного централизованным ГВС и отоплением</w:t>
            </w:r>
          </w:p>
        </w:tc>
        <w:tc>
          <w:tcPr>
            <w:tcW w:w="156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c>
          <w:tcPr>
            <w:tcW w:w="1078" w:type="dxa"/>
            <w:tcBorders>
              <w:top w:val="single" w:sz="4" w:space="0" w:color="auto"/>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7</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7</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7</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7</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7</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w:t>
            </w:r>
          </w:p>
        </w:tc>
        <w:tc>
          <w:tcPr>
            <w:tcW w:w="1198"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w:t>
            </w:r>
          </w:p>
        </w:tc>
      </w:tr>
      <w:tr w:rsidR="00171D1D" w:rsidRPr="00592BA7"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2.4.</w:t>
            </w:r>
          </w:p>
        </w:tc>
        <w:tc>
          <w:tcPr>
            <w:tcW w:w="14612" w:type="dxa"/>
            <w:gridSpan w:val="10"/>
            <w:tcBorders>
              <w:top w:val="single" w:sz="4" w:space="0" w:color="auto"/>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Эффективность деятельности</w:t>
            </w:r>
          </w:p>
        </w:tc>
      </w:tr>
      <w:tr w:rsidR="00171D1D" w:rsidRPr="00592BA7" w:rsidTr="00592BA7">
        <w:trPr>
          <w:trHeight w:val="505"/>
        </w:trPr>
        <w:tc>
          <w:tcPr>
            <w:tcW w:w="738" w:type="dxa"/>
            <w:tcBorders>
              <w:top w:val="nil"/>
              <w:left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2.4.1.</w:t>
            </w:r>
          </w:p>
        </w:tc>
        <w:tc>
          <w:tcPr>
            <w:tcW w:w="2161" w:type="dxa"/>
            <w:tcBorders>
              <w:top w:val="nil"/>
              <w:left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Эффективность использования топлива</w:t>
            </w:r>
          </w:p>
        </w:tc>
        <w:tc>
          <w:tcPr>
            <w:tcW w:w="3430" w:type="dxa"/>
            <w:tcBorders>
              <w:top w:val="single" w:sz="4" w:space="0" w:color="auto"/>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Отношение расхода топлива в условных единицах к объёму тепловой энергии, отпущенной в тепловые сети</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кг.у.т./Гкал</w:t>
            </w:r>
          </w:p>
        </w:tc>
        <w:tc>
          <w:tcPr>
            <w:tcW w:w="1078" w:type="dxa"/>
            <w:tcBorders>
              <w:top w:val="single" w:sz="4" w:space="0" w:color="auto"/>
              <w:left w:val="single" w:sz="4" w:space="0" w:color="000000"/>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186,1</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186,1</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186,1</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186,1</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186,1</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186,1</w:t>
            </w:r>
          </w:p>
        </w:tc>
        <w:tc>
          <w:tcPr>
            <w:tcW w:w="1198" w:type="dxa"/>
            <w:tcBorders>
              <w:top w:val="single" w:sz="4" w:space="0" w:color="auto"/>
              <w:left w:val="single" w:sz="4" w:space="0" w:color="auto"/>
              <w:bottom w:val="single" w:sz="4" w:space="0" w:color="auto"/>
              <w:right w:val="single" w:sz="4" w:space="0" w:color="auto"/>
            </w:tcBorders>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186,1</w:t>
            </w:r>
          </w:p>
        </w:tc>
      </w:tr>
      <w:tr w:rsidR="00171D1D" w:rsidRPr="00592BA7"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2.4.2.</w:t>
            </w:r>
          </w:p>
        </w:tc>
        <w:tc>
          <w:tcPr>
            <w:tcW w:w="2161"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Эффективность использования воды</w:t>
            </w:r>
          </w:p>
        </w:tc>
        <w:tc>
          <w:tcPr>
            <w:tcW w:w="3430" w:type="dxa"/>
            <w:tcBorders>
              <w:top w:val="single" w:sz="4" w:space="0" w:color="auto"/>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Отношение расхода воды к объёму тепловой энергии, отпущенной в </w:t>
            </w:r>
            <w:r w:rsidRPr="00592BA7">
              <w:rPr>
                <w:rFonts w:ascii="Times New Roman" w:hAnsi="Times New Roman" w:cs="Times New Roman"/>
                <w:sz w:val="20"/>
                <w:szCs w:val="20"/>
              </w:rPr>
              <w:lastRenderedPageBreak/>
              <w:t>тепловые сети</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куб. м/Гкал</w:t>
            </w:r>
          </w:p>
        </w:tc>
        <w:tc>
          <w:tcPr>
            <w:tcW w:w="1078" w:type="dxa"/>
            <w:tcBorders>
              <w:top w:val="single" w:sz="4" w:space="0" w:color="auto"/>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037" w:type="dxa"/>
            <w:tcBorders>
              <w:top w:val="single" w:sz="4" w:space="0" w:color="auto"/>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037" w:type="dxa"/>
            <w:tcBorders>
              <w:top w:val="single" w:sz="4" w:space="0" w:color="auto"/>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037" w:type="dxa"/>
            <w:tcBorders>
              <w:top w:val="single" w:sz="4" w:space="0" w:color="auto"/>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037" w:type="dxa"/>
            <w:tcBorders>
              <w:top w:val="single" w:sz="4" w:space="0" w:color="auto"/>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037" w:type="dxa"/>
            <w:tcBorders>
              <w:top w:val="single" w:sz="4" w:space="0" w:color="auto"/>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198" w:type="dxa"/>
            <w:tcBorders>
              <w:top w:val="single" w:sz="4" w:space="0" w:color="auto"/>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r>
      <w:tr w:rsidR="00171D1D" w:rsidRPr="00592BA7"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2.4.1.</w:t>
            </w:r>
          </w:p>
        </w:tc>
        <w:tc>
          <w:tcPr>
            <w:tcW w:w="2161"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Эффективность использования электрической энергии</w:t>
            </w:r>
          </w:p>
        </w:tc>
        <w:tc>
          <w:tcPr>
            <w:tcW w:w="343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Отношение расхода электрической к объёму тепловой энергии, отпущенной в тепловые сети</w:t>
            </w:r>
          </w:p>
        </w:tc>
        <w:tc>
          <w:tcPr>
            <w:tcW w:w="156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кВтч/Гкал</w:t>
            </w:r>
          </w:p>
        </w:tc>
        <w:tc>
          <w:tcPr>
            <w:tcW w:w="107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19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r>
      <w:tr w:rsidR="00171D1D" w:rsidRPr="00592BA7"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2.4.2.</w:t>
            </w:r>
          </w:p>
        </w:tc>
        <w:tc>
          <w:tcPr>
            <w:tcW w:w="2161"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Производительность труда </w:t>
            </w:r>
          </w:p>
        </w:tc>
        <w:tc>
          <w:tcPr>
            <w:tcW w:w="343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Отношение объема реализации тепловой энергии к численности персонала</w:t>
            </w:r>
          </w:p>
        </w:tc>
        <w:tc>
          <w:tcPr>
            <w:tcW w:w="156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Гкал/чел.</w:t>
            </w:r>
          </w:p>
        </w:tc>
        <w:tc>
          <w:tcPr>
            <w:tcW w:w="1078" w:type="dxa"/>
            <w:tcBorders>
              <w:top w:val="single" w:sz="4" w:space="0" w:color="auto"/>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198"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r>
      <w:tr w:rsidR="00171D1D" w:rsidRPr="00592BA7"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2.4.3.</w:t>
            </w:r>
          </w:p>
        </w:tc>
        <w:tc>
          <w:tcPr>
            <w:tcW w:w="2161"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Эффективность использования персонала</w:t>
            </w:r>
          </w:p>
        </w:tc>
        <w:tc>
          <w:tcPr>
            <w:tcW w:w="343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Отношение численности персонала к протяженности сетей</w:t>
            </w:r>
          </w:p>
        </w:tc>
        <w:tc>
          <w:tcPr>
            <w:tcW w:w="156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чел/км</w:t>
            </w:r>
          </w:p>
        </w:tc>
        <w:tc>
          <w:tcPr>
            <w:tcW w:w="1078" w:type="dxa"/>
            <w:tcBorders>
              <w:top w:val="single" w:sz="4" w:space="0" w:color="auto"/>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037" w:type="dxa"/>
            <w:tcBorders>
              <w:top w:val="single" w:sz="4" w:space="0" w:color="auto"/>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037" w:type="dxa"/>
            <w:tcBorders>
              <w:top w:val="single" w:sz="4" w:space="0" w:color="auto"/>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037" w:type="dxa"/>
            <w:tcBorders>
              <w:top w:val="single" w:sz="4" w:space="0" w:color="auto"/>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037" w:type="dxa"/>
            <w:tcBorders>
              <w:top w:val="single" w:sz="4" w:space="0" w:color="auto"/>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037" w:type="dxa"/>
            <w:tcBorders>
              <w:top w:val="single" w:sz="4" w:space="0" w:color="auto"/>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198" w:type="dxa"/>
            <w:tcBorders>
              <w:top w:val="single" w:sz="4" w:space="0" w:color="auto"/>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r>
      <w:tr w:rsidR="00171D1D" w:rsidRPr="00592BA7"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w:t>
            </w:r>
          </w:p>
        </w:tc>
        <w:tc>
          <w:tcPr>
            <w:tcW w:w="14612" w:type="dxa"/>
            <w:gridSpan w:val="10"/>
            <w:tcBorders>
              <w:top w:val="single" w:sz="4" w:space="0" w:color="auto"/>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Система водоснабжения</w:t>
            </w:r>
          </w:p>
        </w:tc>
      </w:tr>
      <w:tr w:rsidR="00171D1D" w:rsidRPr="00592BA7"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3.1.</w:t>
            </w:r>
          </w:p>
        </w:tc>
        <w:tc>
          <w:tcPr>
            <w:tcW w:w="14612" w:type="dxa"/>
            <w:gridSpan w:val="10"/>
            <w:tcBorders>
              <w:top w:val="single" w:sz="4" w:space="0" w:color="auto"/>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Производственная программа </w:t>
            </w:r>
          </w:p>
        </w:tc>
      </w:tr>
      <w:tr w:rsidR="00171D1D" w:rsidRPr="00592BA7"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3.1.1.</w:t>
            </w:r>
          </w:p>
        </w:tc>
        <w:tc>
          <w:tcPr>
            <w:tcW w:w="5591" w:type="dxa"/>
            <w:gridSpan w:val="2"/>
            <w:tcBorders>
              <w:top w:val="single" w:sz="4" w:space="0" w:color="auto"/>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Объём добычи воды</w:t>
            </w:r>
          </w:p>
        </w:tc>
        <w:tc>
          <w:tcPr>
            <w:tcW w:w="156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тыс. куб.м.</w:t>
            </w:r>
          </w:p>
        </w:tc>
        <w:tc>
          <w:tcPr>
            <w:tcW w:w="1078" w:type="dxa"/>
            <w:tcBorders>
              <w:top w:val="single" w:sz="4" w:space="0" w:color="auto"/>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174,656</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212,7</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250,7</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288,7</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326,8</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364,8</w:t>
            </w:r>
          </w:p>
        </w:tc>
        <w:tc>
          <w:tcPr>
            <w:tcW w:w="1198"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554,9</w:t>
            </w:r>
          </w:p>
        </w:tc>
      </w:tr>
      <w:tr w:rsidR="00171D1D" w:rsidRPr="00592BA7"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3.1.2</w:t>
            </w:r>
          </w:p>
        </w:tc>
        <w:tc>
          <w:tcPr>
            <w:tcW w:w="5591" w:type="dxa"/>
            <w:gridSpan w:val="2"/>
            <w:tcBorders>
              <w:top w:val="single" w:sz="4" w:space="0" w:color="auto"/>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Объём реализации воды</w:t>
            </w:r>
          </w:p>
        </w:tc>
        <w:tc>
          <w:tcPr>
            <w:tcW w:w="156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тыс. куб.м.</w:t>
            </w:r>
          </w:p>
        </w:tc>
        <w:tc>
          <w:tcPr>
            <w:tcW w:w="1078" w:type="dxa"/>
            <w:tcBorders>
              <w:top w:val="single" w:sz="4" w:space="0" w:color="auto"/>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174,656</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207,1</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239,6</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272,1</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304,6</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337,0</w:t>
            </w:r>
          </w:p>
        </w:tc>
        <w:tc>
          <w:tcPr>
            <w:tcW w:w="1198"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499,4</w:t>
            </w:r>
          </w:p>
        </w:tc>
      </w:tr>
      <w:tr w:rsidR="00171D1D" w:rsidRPr="00592BA7"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3.1.3.</w:t>
            </w:r>
          </w:p>
        </w:tc>
        <w:tc>
          <w:tcPr>
            <w:tcW w:w="2161"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Уровень обеспеченности населения централизованным водоснабжением</w:t>
            </w:r>
          </w:p>
        </w:tc>
        <w:tc>
          <w:tcPr>
            <w:tcW w:w="343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Отношение численности населения, получающего услугу централизованного водоснабжения к общей численности населения</w:t>
            </w:r>
          </w:p>
        </w:tc>
        <w:tc>
          <w:tcPr>
            <w:tcW w:w="156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c>
          <w:tcPr>
            <w:tcW w:w="1078" w:type="dxa"/>
            <w:tcBorders>
              <w:top w:val="single" w:sz="4" w:space="0" w:color="auto"/>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92</w:t>
            </w:r>
          </w:p>
        </w:tc>
        <w:tc>
          <w:tcPr>
            <w:tcW w:w="1037" w:type="dxa"/>
            <w:tcBorders>
              <w:top w:val="single" w:sz="4" w:space="0" w:color="auto"/>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92</w:t>
            </w:r>
          </w:p>
        </w:tc>
        <w:tc>
          <w:tcPr>
            <w:tcW w:w="1037" w:type="dxa"/>
            <w:tcBorders>
              <w:top w:val="single" w:sz="4" w:space="0" w:color="auto"/>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93</w:t>
            </w:r>
          </w:p>
        </w:tc>
        <w:tc>
          <w:tcPr>
            <w:tcW w:w="1037" w:type="dxa"/>
            <w:tcBorders>
              <w:top w:val="single" w:sz="4" w:space="0" w:color="auto"/>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93</w:t>
            </w:r>
          </w:p>
        </w:tc>
        <w:tc>
          <w:tcPr>
            <w:tcW w:w="1037" w:type="dxa"/>
            <w:tcBorders>
              <w:top w:val="single" w:sz="4" w:space="0" w:color="auto"/>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94</w:t>
            </w:r>
          </w:p>
        </w:tc>
        <w:tc>
          <w:tcPr>
            <w:tcW w:w="1037" w:type="dxa"/>
            <w:tcBorders>
              <w:top w:val="single" w:sz="4" w:space="0" w:color="auto"/>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94</w:t>
            </w:r>
          </w:p>
        </w:tc>
        <w:tc>
          <w:tcPr>
            <w:tcW w:w="1198" w:type="dxa"/>
            <w:tcBorders>
              <w:top w:val="single" w:sz="4" w:space="0" w:color="auto"/>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95</w:t>
            </w:r>
          </w:p>
        </w:tc>
      </w:tr>
      <w:tr w:rsidR="00171D1D" w:rsidRPr="00592BA7"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3.1.4.</w:t>
            </w:r>
          </w:p>
        </w:tc>
        <w:tc>
          <w:tcPr>
            <w:tcW w:w="2161"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Обеспеченность водоснабжения приборами учета</w:t>
            </w:r>
          </w:p>
        </w:tc>
        <w:tc>
          <w:tcPr>
            <w:tcW w:w="343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Отношение объема воды, реализованной по приборам учета, к общему объему реализации воды</w:t>
            </w:r>
          </w:p>
        </w:tc>
        <w:tc>
          <w:tcPr>
            <w:tcW w:w="156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c>
          <w:tcPr>
            <w:tcW w:w="107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79,6</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80</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81</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82</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83</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84</w:t>
            </w:r>
          </w:p>
        </w:tc>
        <w:tc>
          <w:tcPr>
            <w:tcW w:w="119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85</w:t>
            </w:r>
          </w:p>
        </w:tc>
      </w:tr>
      <w:tr w:rsidR="00171D1D" w:rsidRPr="00592BA7"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3.1.5.</w:t>
            </w:r>
          </w:p>
        </w:tc>
        <w:tc>
          <w:tcPr>
            <w:tcW w:w="2161"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Уровень потерь</w:t>
            </w:r>
          </w:p>
        </w:tc>
        <w:tc>
          <w:tcPr>
            <w:tcW w:w="343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Отношение объема потерь к объему отпуска в сеть</w:t>
            </w:r>
          </w:p>
        </w:tc>
        <w:tc>
          <w:tcPr>
            <w:tcW w:w="156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c>
          <w:tcPr>
            <w:tcW w:w="1078" w:type="dxa"/>
            <w:tcBorders>
              <w:top w:val="single" w:sz="4" w:space="0" w:color="auto"/>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w:t>
            </w:r>
          </w:p>
        </w:tc>
        <w:tc>
          <w:tcPr>
            <w:tcW w:w="1198"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5</w:t>
            </w:r>
          </w:p>
        </w:tc>
      </w:tr>
      <w:tr w:rsidR="00171D1D" w:rsidRPr="00592BA7"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3.1.6.</w:t>
            </w:r>
          </w:p>
        </w:tc>
        <w:tc>
          <w:tcPr>
            <w:tcW w:w="2161"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Коэффициент потерь</w:t>
            </w:r>
          </w:p>
        </w:tc>
        <w:tc>
          <w:tcPr>
            <w:tcW w:w="343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Отношение объема потерь к протяженности сети</w:t>
            </w:r>
          </w:p>
        </w:tc>
        <w:tc>
          <w:tcPr>
            <w:tcW w:w="156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куб.м./км</w:t>
            </w:r>
          </w:p>
        </w:tc>
        <w:tc>
          <w:tcPr>
            <w:tcW w:w="1078" w:type="dxa"/>
            <w:tcBorders>
              <w:top w:val="single" w:sz="4" w:space="0" w:color="auto"/>
              <w:left w:val="nil"/>
              <w:bottom w:val="single" w:sz="4" w:space="0" w:color="auto"/>
              <w:right w:val="single" w:sz="4" w:space="0" w:color="auto"/>
            </w:tcBorders>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0,638</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0,638</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0,638</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0,638</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0,638</w:t>
            </w:r>
          </w:p>
        </w:tc>
        <w:tc>
          <w:tcPr>
            <w:tcW w:w="1198"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0,638</w:t>
            </w:r>
          </w:p>
        </w:tc>
      </w:tr>
      <w:tr w:rsidR="00171D1D" w:rsidRPr="00592BA7"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3.1.7.</w:t>
            </w:r>
          </w:p>
        </w:tc>
        <w:tc>
          <w:tcPr>
            <w:tcW w:w="2161"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Удельное водопотребление</w:t>
            </w:r>
          </w:p>
        </w:tc>
        <w:tc>
          <w:tcPr>
            <w:tcW w:w="343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Отношение объема реализации воды к численности населения, получающего услугу централизованного водоснабжения</w:t>
            </w:r>
          </w:p>
        </w:tc>
        <w:tc>
          <w:tcPr>
            <w:tcW w:w="156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куб.м./чел</w:t>
            </w:r>
          </w:p>
        </w:tc>
        <w:tc>
          <w:tcPr>
            <w:tcW w:w="1078" w:type="dxa"/>
            <w:tcBorders>
              <w:top w:val="single" w:sz="4" w:space="0" w:color="auto"/>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88,4</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88,4</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88,4</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88,4</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88,4</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88,4</w:t>
            </w:r>
          </w:p>
        </w:tc>
        <w:tc>
          <w:tcPr>
            <w:tcW w:w="1198"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88,4</w:t>
            </w:r>
          </w:p>
        </w:tc>
      </w:tr>
      <w:tr w:rsidR="00171D1D" w:rsidRPr="00592BA7"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3.2.</w:t>
            </w:r>
          </w:p>
        </w:tc>
        <w:tc>
          <w:tcPr>
            <w:tcW w:w="14612" w:type="dxa"/>
            <w:gridSpan w:val="10"/>
            <w:tcBorders>
              <w:top w:val="single" w:sz="4" w:space="0" w:color="auto"/>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Качество водоснабжения</w:t>
            </w:r>
          </w:p>
        </w:tc>
      </w:tr>
      <w:tr w:rsidR="00171D1D" w:rsidRPr="00592BA7"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3.2.1.</w:t>
            </w:r>
          </w:p>
        </w:tc>
        <w:tc>
          <w:tcPr>
            <w:tcW w:w="2161"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Уровень контроля качества воды</w:t>
            </w:r>
          </w:p>
        </w:tc>
        <w:tc>
          <w:tcPr>
            <w:tcW w:w="343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Отношение фактического количества проб на системах водоснабжения к нормативному</w:t>
            </w:r>
          </w:p>
        </w:tc>
        <w:tc>
          <w:tcPr>
            <w:tcW w:w="156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c>
          <w:tcPr>
            <w:tcW w:w="107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100,0</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100,0</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100,0</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100,0</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100,0</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100,0</w:t>
            </w:r>
          </w:p>
        </w:tc>
        <w:tc>
          <w:tcPr>
            <w:tcW w:w="119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100,0</w:t>
            </w:r>
          </w:p>
        </w:tc>
      </w:tr>
      <w:tr w:rsidR="00171D1D" w:rsidRPr="00592BA7"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3.2.2.</w:t>
            </w:r>
          </w:p>
        </w:tc>
        <w:tc>
          <w:tcPr>
            <w:tcW w:w="2161"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Соответствие качества воды установленным требованиям</w:t>
            </w:r>
          </w:p>
        </w:tc>
        <w:tc>
          <w:tcPr>
            <w:tcW w:w="343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Отношение количества проб, соответствующих нормативам, к общему количеству проб</w:t>
            </w:r>
          </w:p>
        </w:tc>
        <w:tc>
          <w:tcPr>
            <w:tcW w:w="156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c>
          <w:tcPr>
            <w:tcW w:w="107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100,0</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100,0</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100,0</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100,0</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100,0</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100,0</w:t>
            </w:r>
          </w:p>
        </w:tc>
        <w:tc>
          <w:tcPr>
            <w:tcW w:w="119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100,0</w:t>
            </w:r>
          </w:p>
        </w:tc>
      </w:tr>
      <w:tr w:rsidR="00171D1D" w:rsidRPr="00592BA7"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3.3.</w:t>
            </w:r>
          </w:p>
        </w:tc>
        <w:tc>
          <w:tcPr>
            <w:tcW w:w="14612" w:type="dxa"/>
            <w:gridSpan w:val="10"/>
            <w:tcBorders>
              <w:top w:val="single" w:sz="4" w:space="0" w:color="auto"/>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Надёжность водоснабжения</w:t>
            </w:r>
          </w:p>
        </w:tc>
      </w:tr>
      <w:tr w:rsidR="00171D1D" w:rsidRPr="00592BA7"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3.3.1.</w:t>
            </w:r>
          </w:p>
        </w:tc>
        <w:tc>
          <w:tcPr>
            <w:tcW w:w="2161"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Аварийность системы водоснабжения</w:t>
            </w:r>
          </w:p>
        </w:tc>
        <w:tc>
          <w:tcPr>
            <w:tcW w:w="343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Отношение количества аварий на системах водоснабжения к протяженности сетей</w:t>
            </w:r>
          </w:p>
        </w:tc>
        <w:tc>
          <w:tcPr>
            <w:tcW w:w="156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ед./км.</w:t>
            </w:r>
          </w:p>
        </w:tc>
        <w:tc>
          <w:tcPr>
            <w:tcW w:w="107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0,9</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0,9</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0,7</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0,9</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0,9</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0,7</w:t>
            </w:r>
          </w:p>
        </w:tc>
        <w:tc>
          <w:tcPr>
            <w:tcW w:w="119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0,2</w:t>
            </w:r>
          </w:p>
        </w:tc>
      </w:tr>
      <w:tr w:rsidR="00171D1D" w:rsidRPr="00592BA7"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3.3.2.</w:t>
            </w:r>
          </w:p>
        </w:tc>
        <w:tc>
          <w:tcPr>
            <w:tcW w:w="2161"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Удельный вес сетей, нуждающихся в замене</w:t>
            </w:r>
          </w:p>
        </w:tc>
        <w:tc>
          <w:tcPr>
            <w:tcW w:w="343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Отношение протяженности сетей, нуждающихся в замене, к протяженности сети</w:t>
            </w:r>
          </w:p>
        </w:tc>
        <w:tc>
          <w:tcPr>
            <w:tcW w:w="156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c>
          <w:tcPr>
            <w:tcW w:w="107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70</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60</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60</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60</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50</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50</w:t>
            </w:r>
          </w:p>
        </w:tc>
        <w:tc>
          <w:tcPr>
            <w:tcW w:w="119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40</w:t>
            </w:r>
          </w:p>
        </w:tc>
      </w:tr>
      <w:tr w:rsidR="00171D1D" w:rsidRPr="00592BA7"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3.4.</w:t>
            </w:r>
          </w:p>
        </w:tc>
        <w:tc>
          <w:tcPr>
            <w:tcW w:w="14612" w:type="dxa"/>
            <w:gridSpan w:val="10"/>
            <w:tcBorders>
              <w:top w:val="single" w:sz="4" w:space="0" w:color="auto"/>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Доступность услуги водоснабжения для потребителей</w:t>
            </w:r>
          </w:p>
        </w:tc>
      </w:tr>
      <w:tr w:rsidR="00171D1D" w:rsidRPr="00592BA7"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3.4.1.</w:t>
            </w:r>
          </w:p>
        </w:tc>
        <w:tc>
          <w:tcPr>
            <w:tcW w:w="2161"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Доля расходов на оплату услуг водоснабжения в совокупном доходе населения</w:t>
            </w:r>
          </w:p>
        </w:tc>
        <w:tc>
          <w:tcPr>
            <w:tcW w:w="343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Отношение среднемесячного платежа за услуги водоснабжения к среднемесячным денежным доходам населения проживающего в домах с централизованным холодным и горячим водоснабжением, водоотведением оборудованными унитазами, мойками, раковинами, ваннами длиной 1650-1700 мм с душами</w:t>
            </w:r>
          </w:p>
        </w:tc>
        <w:tc>
          <w:tcPr>
            <w:tcW w:w="156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c>
          <w:tcPr>
            <w:tcW w:w="1078" w:type="dxa"/>
            <w:tcBorders>
              <w:top w:val="single" w:sz="4" w:space="0" w:color="auto"/>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w:t>
            </w:r>
          </w:p>
        </w:tc>
        <w:tc>
          <w:tcPr>
            <w:tcW w:w="1198"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w:t>
            </w:r>
          </w:p>
        </w:tc>
      </w:tr>
      <w:tr w:rsidR="00171D1D" w:rsidRPr="00592BA7"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3.5.</w:t>
            </w:r>
          </w:p>
        </w:tc>
        <w:tc>
          <w:tcPr>
            <w:tcW w:w="14612" w:type="dxa"/>
            <w:gridSpan w:val="10"/>
            <w:tcBorders>
              <w:top w:val="single" w:sz="4" w:space="0" w:color="auto"/>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Эффективность деятельности</w:t>
            </w:r>
          </w:p>
        </w:tc>
      </w:tr>
      <w:tr w:rsidR="00171D1D" w:rsidRPr="00592BA7"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3.5.1.</w:t>
            </w:r>
          </w:p>
        </w:tc>
        <w:tc>
          <w:tcPr>
            <w:tcW w:w="2161"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Эффективность использования электрической энергии</w:t>
            </w:r>
          </w:p>
        </w:tc>
        <w:tc>
          <w:tcPr>
            <w:tcW w:w="343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Отношение расхода электрической энергии к объёму реализации воды</w:t>
            </w:r>
          </w:p>
        </w:tc>
        <w:tc>
          <w:tcPr>
            <w:tcW w:w="156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кВтч/м.куб.</w:t>
            </w:r>
          </w:p>
        </w:tc>
        <w:tc>
          <w:tcPr>
            <w:tcW w:w="107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19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r>
      <w:tr w:rsidR="00171D1D" w:rsidRPr="00592BA7"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3.5.2.</w:t>
            </w:r>
          </w:p>
        </w:tc>
        <w:tc>
          <w:tcPr>
            <w:tcW w:w="2161"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Производительность труда </w:t>
            </w:r>
          </w:p>
        </w:tc>
        <w:tc>
          <w:tcPr>
            <w:tcW w:w="343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Отношение объема реализации воды к численности персонала</w:t>
            </w:r>
          </w:p>
        </w:tc>
        <w:tc>
          <w:tcPr>
            <w:tcW w:w="156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тыс.м.куб./</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чел</w:t>
            </w:r>
          </w:p>
        </w:tc>
        <w:tc>
          <w:tcPr>
            <w:tcW w:w="1078" w:type="dxa"/>
            <w:tcBorders>
              <w:top w:val="single" w:sz="4" w:space="0" w:color="auto"/>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198"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r>
      <w:tr w:rsidR="00171D1D" w:rsidRPr="00592BA7"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3.5.3.</w:t>
            </w:r>
          </w:p>
        </w:tc>
        <w:tc>
          <w:tcPr>
            <w:tcW w:w="2161"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Эффективность использования персонала</w:t>
            </w:r>
          </w:p>
        </w:tc>
        <w:tc>
          <w:tcPr>
            <w:tcW w:w="343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Отношение численности персонала к протяженности сетей</w:t>
            </w:r>
          </w:p>
        </w:tc>
        <w:tc>
          <w:tcPr>
            <w:tcW w:w="156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чел/км</w:t>
            </w:r>
          </w:p>
        </w:tc>
        <w:tc>
          <w:tcPr>
            <w:tcW w:w="1078" w:type="dxa"/>
            <w:tcBorders>
              <w:top w:val="single" w:sz="4" w:space="0" w:color="auto"/>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198"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r>
      <w:tr w:rsidR="00171D1D" w:rsidRPr="00592BA7"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w:t>
            </w:r>
          </w:p>
        </w:tc>
        <w:tc>
          <w:tcPr>
            <w:tcW w:w="14612" w:type="dxa"/>
            <w:gridSpan w:val="10"/>
            <w:tcBorders>
              <w:top w:val="single" w:sz="4" w:space="0" w:color="auto"/>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Система водоотведения</w:t>
            </w:r>
          </w:p>
        </w:tc>
      </w:tr>
      <w:tr w:rsidR="00171D1D" w:rsidRPr="00592BA7"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4.1.</w:t>
            </w:r>
          </w:p>
        </w:tc>
        <w:tc>
          <w:tcPr>
            <w:tcW w:w="14612" w:type="dxa"/>
            <w:gridSpan w:val="10"/>
            <w:tcBorders>
              <w:top w:val="single" w:sz="4" w:space="0" w:color="auto"/>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Производственная программа</w:t>
            </w:r>
          </w:p>
        </w:tc>
      </w:tr>
      <w:tr w:rsidR="00171D1D" w:rsidRPr="00592BA7"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4.1.1.</w:t>
            </w:r>
          </w:p>
        </w:tc>
        <w:tc>
          <w:tcPr>
            <w:tcW w:w="5591" w:type="dxa"/>
            <w:gridSpan w:val="2"/>
            <w:tcBorders>
              <w:top w:val="single" w:sz="4" w:space="0" w:color="auto"/>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Объём водоотведения</w:t>
            </w:r>
          </w:p>
        </w:tc>
        <w:tc>
          <w:tcPr>
            <w:tcW w:w="156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тыс. куб.м.</w:t>
            </w:r>
          </w:p>
        </w:tc>
        <w:tc>
          <w:tcPr>
            <w:tcW w:w="1078" w:type="dxa"/>
            <w:tcBorders>
              <w:top w:val="single" w:sz="4" w:space="0" w:color="auto"/>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c>
          <w:tcPr>
            <w:tcW w:w="1037" w:type="dxa"/>
            <w:tcBorders>
              <w:top w:val="single" w:sz="4" w:space="0" w:color="auto"/>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c>
          <w:tcPr>
            <w:tcW w:w="1037" w:type="dxa"/>
            <w:tcBorders>
              <w:top w:val="single" w:sz="4" w:space="0" w:color="auto"/>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c>
          <w:tcPr>
            <w:tcW w:w="1037" w:type="dxa"/>
            <w:tcBorders>
              <w:top w:val="single" w:sz="4" w:space="0" w:color="auto"/>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c>
          <w:tcPr>
            <w:tcW w:w="1037" w:type="dxa"/>
            <w:tcBorders>
              <w:top w:val="single" w:sz="4" w:space="0" w:color="auto"/>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c>
          <w:tcPr>
            <w:tcW w:w="1037" w:type="dxa"/>
            <w:tcBorders>
              <w:top w:val="single" w:sz="4" w:space="0" w:color="auto"/>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c>
          <w:tcPr>
            <w:tcW w:w="1198" w:type="dxa"/>
            <w:tcBorders>
              <w:top w:val="single" w:sz="4" w:space="0" w:color="auto"/>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380,8</w:t>
            </w:r>
          </w:p>
        </w:tc>
      </w:tr>
      <w:tr w:rsidR="00171D1D" w:rsidRPr="00592BA7"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4.1.2.</w:t>
            </w:r>
          </w:p>
        </w:tc>
        <w:tc>
          <w:tcPr>
            <w:tcW w:w="2161"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Уровень обеспеченности населения централизованным водоотведением</w:t>
            </w:r>
          </w:p>
        </w:tc>
        <w:tc>
          <w:tcPr>
            <w:tcW w:w="343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Отношение численности населения, получающего услугу централизованного водоотведения к общей численности населения</w:t>
            </w:r>
          </w:p>
        </w:tc>
        <w:tc>
          <w:tcPr>
            <w:tcW w:w="156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c>
          <w:tcPr>
            <w:tcW w:w="1078" w:type="dxa"/>
            <w:tcBorders>
              <w:top w:val="single" w:sz="4" w:space="0" w:color="auto"/>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c>
          <w:tcPr>
            <w:tcW w:w="1037" w:type="dxa"/>
            <w:tcBorders>
              <w:top w:val="single" w:sz="4" w:space="0" w:color="auto"/>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c>
          <w:tcPr>
            <w:tcW w:w="1037" w:type="dxa"/>
            <w:tcBorders>
              <w:top w:val="single" w:sz="4" w:space="0" w:color="auto"/>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c>
          <w:tcPr>
            <w:tcW w:w="1037" w:type="dxa"/>
            <w:tcBorders>
              <w:top w:val="single" w:sz="4" w:space="0" w:color="auto"/>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c>
          <w:tcPr>
            <w:tcW w:w="1037" w:type="dxa"/>
            <w:tcBorders>
              <w:top w:val="single" w:sz="4" w:space="0" w:color="auto"/>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c>
          <w:tcPr>
            <w:tcW w:w="1037" w:type="dxa"/>
            <w:tcBorders>
              <w:top w:val="single" w:sz="4" w:space="0" w:color="auto"/>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c>
          <w:tcPr>
            <w:tcW w:w="1198" w:type="dxa"/>
            <w:tcBorders>
              <w:top w:val="single" w:sz="4" w:space="0" w:color="auto"/>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65</w:t>
            </w:r>
          </w:p>
        </w:tc>
      </w:tr>
      <w:tr w:rsidR="00171D1D" w:rsidRPr="00592BA7"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4.2.</w:t>
            </w:r>
          </w:p>
        </w:tc>
        <w:tc>
          <w:tcPr>
            <w:tcW w:w="14612" w:type="dxa"/>
            <w:gridSpan w:val="10"/>
            <w:tcBorders>
              <w:top w:val="single" w:sz="4" w:space="0" w:color="auto"/>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Качество водоотведения</w:t>
            </w:r>
          </w:p>
        </w:tc>
      </w:tr>
      <w:tr w:rsidR="00171D1D" w:rsidRPr="00592BA7"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4.2.1.</w:t>
            </w:r>
          </w:p>
        </w:tc>
        <w:tc>
          <w:tcPr>
            <w:tcW w:w="2161"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Доля очищаемых сточных вод</w:t>
            </w:r>
          </w:p>
        </w:tc>
        <w:tc>
          <w:tcPr>
            <w:tcW w:w="343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Отношение объема отведенных стоков, пропущенных через очистные сооружения, к объему отведенных стоков</w:t>
            </w:r>
          </w:p>
        </w:tc>
        <w:tc>
          <w:tcPr>
            <w:tcW w:w="156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c>
          <w:tcPr>
            <w:tcW w:w="107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c>
          <w:tcPr>
            <w:tcW w:w="119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100,0</w:t>
            </w:r>
          </w:p>
        </w:tc>
      </w:tr>
      <w:tr w:rsidR="00171D1D" w:rsidRPr="00592BA7"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4.2.2.</w:t>
            </w:r>
          </w:p>
        </w:tc>
        <w:tc>
          <w:tcPr>
            <w:tcW w:w="2161"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Соответствие качества очистки сточных вод установленным требованиям</w:t>
            </w:r>
          </w:p>
        </w:tc>
        <w:tc>
          <w:tcPr>
            <w:tcW w:w="343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Отношение количества проб, соответствующих нормативам, к общему количеству проб</w:t>
            </w:r>
          </w:p>
        </w:tc>
        <w:tc>
          <w:tcPr>
            <w:tcW w:w="156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c>
          <w:tcPr>
            <w:tcW w:w="107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c>
          <w:tcPr>
            <w:tcW w:w="119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100,0</w:t>
            </w:r>
          </w:p>
        </w:tc>
      </w:tr>
      <w:tr w:rsidR="00171D1D" w:rsidRPr="00592BA7"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4.3.</w:t>
            </w:r>
          </w:p>
        </w:tc>
        <w:tc>
          <w:tcPr>
            <w:tcW w:w="14612" w:type="dxa"/>
            <w:gridSpan w:val="10"/>
            <w:tcBorders>
              <w:top w:val="single" w:sz="4" w:space="0" w:color="auto"/>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Надёжность водоотведения</w:t>
            </w:r>
          </w:p>
        </w:tc>
      </w:tr>
      <w:tr w:rsidR="00171D1D" w:rsidRPr="00592BA7"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4.3.1.</w:t>
            </w:r>
          </w:p>
        </w:tc>
        <w:tc>
          <w:tcPr>
            <w:tcW w:w="2161"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Аварийность системы водоотведения</w:t>
            </w:r>
          </w:p>
        </w:tc>
        <w:tc>
          <w:tcPr>
            <w:tcW w:w="343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Отношение количества аварий на системах водоснабжения к протяженности сетей</w:t>
            </w:r>
          </w:p>
        </w:tc>
        <w:tc>
          <w:tcPr>
            <w:tcW w:w="156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ед./км.</w:t>
            </w:r>
          </w:p>
        </w:tc>
        <w:tc>
          <w:tcPr>
            <w:tcW w:w="107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w:t>
            </w:r>
          </w:p>
        </w:tc>
        <w:tc>
          <w:tcPr>
            <w:tcW w:w="119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r>
      <w:tr w:rsidR="00171D1D" w:rsidRPr="00592BA7"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4.3.2.</w:t>
            </w:r>
          </w:p>
        </w:tc>
        <w:tc>
          <w:tcPr>
            <w:tcW w:w="2161"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Удельный вес сетей, нуждающихся в замене</w:t>
            </w:r>
          </w:p>
        </w:tc>
        <w:tc>
          <w:tcPr>
            <w:tcW w:w="343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Отношение протяженности сетей, нуждающихся в замене, к протяженности сети</w:t>
            </w:r>
          </w:p>
        </w:tc>
        <w:tc>
          <w:tcPr>
            <w:tcW w:w="156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c>
          <w:tcPr>
            <w:tcW w:w="107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90</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90</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90</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90</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90</w:t>
            </w:r>
          </w:p>
        </w:tc>
        <w:tc>
          <w:tcPr>
            <w:tcW w:w="119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70</w:t>
            </w:r>
          </w:p>
        </w:tc>
      </w:tr>
      <w:tr w:rsidR="00171D1D" w:rsidRPr="00592BA7"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4.4.</w:t>
            </w:r>
          </w:p>
        </w:tc>
        <w:tc>
          <w:tcPr>
            <w:tcW w:w="14612" w:type="dxa"/>
            <w:gridSpan w:val="10"/>
            <w:tcBorders>
              <w:top w:val="single" w:sz="4" w:space="0" w:color="auto"/>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Доступность услуги водоотведения для потребителей</w:t>
            </w:r>
          </w:p>
        </w:tc>
      </w:tr>
      <w:tr w:rsidR="00171D1D" w:rsidRPr="00592BA7"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4.4.1.</w:t>
            </w:r>
          </w:p>
        </w:tc>
        <w:tc>
          <w:tcPr>
            <w:tcW w:w="2161"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Доля расходов на оплату услуг водоснабжения в </w:t>
            </w:r>
            <w:r w:rsidRPr="00592BA7">
              <w:rPr>
                <w:rFonts w:ascii="Times New Roman" w:hAnsi="Times New Roman" w:cs="Times New Roman"/>
                <w:sz w:val="20"/>
                <w:szCs w:val="20"/>
              </w:rPr>
              <w:lastRenderedPageBreak/>
              <w:t>совокупном доходе населения</w:t>
            </w:r>
          </w:p>
        </w:tc>
        <w:tc>
          <w:tcPr>
            <w:tcW w:w="343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 xml:space="preserve">Отношение среднемесячного платежа за услуги водоотведения к среднемесячным денежным доходам </w:t>
            </w:r>
            <w:r w:rsidRPr="00592BA7">
              <w:rPr>
                <w:rFonts w:ascii="Times New Roman" w:hAnsi="Times New Roman" w:cs="Times New Roman"/>
                <w:sz w:val="20"/>
                <w:szCs w:val="20"/>
              </w:rPr>
              <w:lastRenderedPageBreak/>
              <w:t>населения</w:t>
            </w:r>
          </w:p>
        </w:tc>
        <w:tc>
          <w:tcPr>
            <w:tcW w:w="156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w:t>
            </w:r>
          </w:p>
        </w:tc>
        <w:tc>
          <w:tcPr>
            <w:tcW w:w="1078" w:type="dxa"/>
            <w:tcBorders>
              <w:top w:val="single" w:sz="4" w:space="0" w:color="auto"/>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w:t>
            </w:r>
          </w:p>
        </w:tc>
        <w:tc>
          <w:tcPr>
            <w:tcW w:w="1198"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w:t>
            </w:r>
          </w:p>
        </w:tc>
      </w:tr>
      <w:tr w:rsidR="00171D1D" w:rsidRPr="00592BA7"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4.5.</w:t>
            </w:r>
          </w:p>
        </w:tc>
        <w:tc>
          <w:tcPr>
            <w:tcW w:w="14612" w:type="dxa"/>
            <w:gridSpan w:val="10"/>
            <w:tcBorders>
              <w:top w:val="single" w:sz="4" w:space="0" w:color="auto"/>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Эффективность деятельности</w:t>
            </w:r>
          </w:p>
        </w:tc>
      </w:tr>
      <w:tr w:rsidR="00171D1D" w:rsidRPr="00592BA7"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4.5.1.</w:t>
            </w:r>
          </w:p>
        </w:tc>
        <w:tc>
          <w:tcPr>
            <w:tcW w:w="2161"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Эффективность использования электрической энергии на очистку сточных вод</w:t>
            </w:r>
          </w:p>
        </w:tc>
        <w:tc>
          <w:tcPr>
            <w:tcW w:w="343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Отношение расхода электрической энергии к объёму очищенных стоков</w:t>
            </w:r>
          </w:p>
        </w:tc>
        <w:tc>
          <w:tcPr>
            <w:tcW w:w="156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кВтч/м.куб.</w:t>
            </w:r>
          </w:p>
        </w:tc>
        <w:tc>
          <w:tcPr>
            <w:tcW w:w="107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c>
          <w:tcPr>
            <w:tcW w:w="119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7,0</w:t>
            </w:r>
          </w:p>
        </w:tc>
      </w:tr>
      <w:tr w:rsidR="00171D1D" w:rsidRPr="00592BA7"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4.5.2.</w:t>
            </w:r>
          </w:p>
        </w:tc>
        <w:tc>
          <w:tcPr>
            <w:tcW w:w="2161"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Производительность труда </w:t>
            </w:r>
          </w:p>
        </w:tc>
        <w:tc>
          <w:tcPr>
            <w:tcW w:w="343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Отношение объема водоотведения к численности персонала</w:t>
            </w:r>
          </w:p>
        </w:tc>
        <w:tc>
          <w:tcPr>
            <w:tcW w:w="156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тыс.м. куб./чел.</w:t>
            </w:r>
          </w:p>
        </w:tc>
        <w:tc>
          <w:tcPr>
            <w:tcW w:w="1078" w:type="dxa"/>
            <w:tcBorders>
              <w:top w:val="single" w:sz="4" w:space="0" w:color="auto"/>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198"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r>
      <w:tr w:rsidR="00171D1D" w:rsidRPr="00592BA7"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4.5.3.</w:t>
            </w:r>
          </w:p>
        </w:tc>
        <w:tc>
          <w:tcPr>
            <w:tcW w:w="2161"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Эффективность использования персонала</w:t>
            </w:r>
          </w:p>
        </w:tc>
        <w:tc>
          <w:tcPr>
            <w:tcW w:w="343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Отношение численности персонала к протяженности сетей</w:t>
            </w:r>
          </w:p>
        </w:tc>
        <w:tc>
          <w:tcPr>
            <w:tcW w:w="156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чел/км</w:t>
            </w:r>
          </w:p>
        </w:tc>
        <w:tc>
          <w:tcPr>
            <w:tcW w:w="1078" w:type="dxa"/>
            <w:tcBorders>
              <w:top w:val="single" w:sz="4" w:space="0" w:color="auto"/>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198"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r>
      <w:tr w:rsidR="00171D1D" w:rsidRPr="00592BA7"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5</w:t>
            </w:r>
          </w:p>
        </w:tc>
        <w:tc>
          <w:tcPr>
            <w:tcW w:w="14612" w:type="dxa"/>
            <w:gridSpan w:val="10"/>
            <w:tcBorders>
              <w:top w:val="single" w:sz="4" w:space="0" w:color="auto"/>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Система газоснабжения</w:t>
            </w:r>
          </w:p>
        </w:tc>
      </w:tr>
      <w:tr w:rsidR="00171D1D" w:rsidRPr="00592BA7"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5.1.</w:t>
            </w:r>
          </w:p>
        </w:tc>
        <w:tc>
          <w:tcPr>
            <w:tcW w:w="14612" w:type="dxa"/>
            <w:gridSpan w:val="10"/>
            <w:tcBorders>
              <w:top w:val="single" w:sz="4" w:space="0" w:color="auto"/>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Производственная программа </w:t>
            </w:r>
          </w:p>
        </w:tc>
      </w:tr>
      <w:tr w:rsidR="00171D1D" w:rsidRPr="00592BA7"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5.1.1.</w:t>
            </w:r>
          </w:p>
        </w:tc>
        <w:tc>
          <w:tcPr>
            <w:tcW w:w="2161"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Спрос на услуги газоснабжения</w:t>
            </w:r>
          </w:p>
        </w:tc>
        <w:tc>
          <w:tcPr>
            <w:tcW w:w="343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Потребление газа</w:t>
            </w:r>
          </w:p>
        </w:tc>
        <w:tc>
          <w:tcPr>
            <w:tcW w:w="156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млн. м3</w:t>
            </w:r>
          </w:p>
        </w:tc>
        <w:tc>
          <w:tcPr>
            <w:tcW w:w="107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2,57</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2,56</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2,55</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2,54</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2,53</w:t>
            </w:r>
          </w:p>
        </w:tc>
        <w:tc>
          <w:tcPr>
            <w:tcW w:w="119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2,48</w:t>
            </w:r>
          </w:p>
        </w:tc>
      </w:tr>
      <w:tr w:rsidR="00171D1D" w:rsidRPr="00592BA7"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5.1.2.</w:t>
            </w:r>
          </w:p>
        </w:tc>
        <w:tc>
          <w:tcPr>
            <w:tcW w:w="2161"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Уровень обеспеченности услугой по газоснабжению</w:t>
            </w:r>
          </w:p>
        </w:tc>
        <w:tc>
          <w:tcPr>
            <w:tcW w:w="343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Отношение численности населения, получающего услугу газоснабжения к общей численности населения</w:t>
            </w:r>
          </w:p>
        </w:tc>
        <w:tc>
          <w:tcPr>
            <w:tcW w:w="156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c>
          <w:tcPr>
            <w:tcW w:w="107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82,5</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83</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84</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85</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86</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87</w:t>
            </w:r>
          </w:p>
        </w:tc>
        <w:tc>
          <w:tcPr>
            <w:tcW w:w="119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88</w:t>
            </w:r>
          </w:p>
        </w:tc>
      </w:tr>
      <w:tr w:rsidR="00171D1D" w:rsidRPr="00592BA7"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5.1.3.</w:t>
            </w:r>
          </w:p>
        </w:tc>
        <w:tc>
          <w:tcPr>
            <w:tcW w:w="2161"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Охват потребителей природного газа </w:t>
            </w:r>
            <w:r w:rsidRPr="00592BA7">
              <w:rPr>
                <w:rFonts w:ascii="Times New Roman" w:hAnsi="Times New Roman" w:cs="Times New Roman"/>
                <w:sz w:val="20"/>
                <w:szCs w:val="20"/>
              </w:rPr>
              <w:lastRenderedPageBreak/>
              <w:t>приборами учета</w:t>
            </w:r>
          </w:p>
        </w:tc>
        <w:tc>
          <w:tcPr>
            <w:tcW w:w="343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 xml:space="preserve">Доля объемов потребляемого природного газа расчеты за который осуществляются с использованием </w:t>
            </w:r>
            <w:r w:rsidRPr="00592BA7">
              <w:rPr>
                <w:rFonts w:ascii="Times New Roman" w:hAnsi="Times New Roman" w:cs="Times New Roman"/>
                <w:sz w:val="20"/>
                <w:szCs w:val="20"/>
              </w:rPr>
              <w:lastRenderedPageBreak/>
              <w:t>индивидуальных приборов учета</w:t>
            </w:r>
          </w:p>
        </w:tc>
        <w:tc>
          <w:tcPr>
            <w:tcW w:w="156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w:t>
            </w:r>
          </w:p>
        </w:tc>
        <w:tc>
          <w:tcPr>
            <w:tcW w:w="107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99,5</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w:t>
            </w:r>
          </w:p>
        </w:tc>
        <w:tc>
          <w:tcPr>
            <w:tcW w:w="119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w:t>
            </w:r>
          </w:p>
        </w:tc>
      </w:tr>
      <w:tr w:rsidR="00171D1D" w:rsidRPr="00592BA7"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5.2.</w:t>
            </w:r>
          </w:p>
        </w:tc>
        <w:tc>
          <w:tcPr>
            <w:tcW w:w="14612" w:type="dxa"/>
            <w:gridSpan w:val="10"/>
            <w:tcBorders>
              <w:top w:val="single" w:sz="4" w:space="0" w:color="auto"/>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Доступность услуги газоснабжения для потребителей</w:t>
            </w:r>
          </w:p>
        </w:tc>
      </w:tr>
      <w:tr w:rsidR="00171D1D" w:rsidRPr="00592BA7"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5.2.1.</w:t>
            </w:r>
          </w:p>
        </w:tc>
        <w:tc>
          <w:tcPr>
            <w:tcW w:w="2161"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Доля расходов на оплату услуг газоснабжения в совокупном доходе населения</w:t>
            </w:r>
          </w:p>
        </w:tc>
        <w:tc>
          <w:tcPr>
            <w:tcW w:w="343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Отношение среднемесячного платежа за услуги газоснабжения к среднемесячным денежным доходам населения</w:t>
            </w:r>
          </w:p>
        </w:tc>
        <w:tc>
          <w:tcPr>
            <w:tcW w:w="156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c>
          <w:tcPr>
            <w:tcW w:w="107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w:t>
            </w:r>
          </w:p>
        </w:tc>
        <w:tc>
          <w:tcPr>
            <w:tcW w:w="119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w:t>
            </w:r>
          </w:p>
        </w:tc>
      </w:tr>
      <w:tr w:rsidR="00171D1D" w:rsidRPr="00592BA7"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w:t>
            </w:r>
          </w:p>
        </w:tc>
        <w:tc>
          <w:tcPr>
            <w:tcW w:w="14612" w:type="dxa"/>
            <w:gridSpan w:val="10"/>
            <w:tcBorders>
              <w:top w:val="single" w:sz="4" w:space="0" w:color="auto"/>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Сбор и утилизация ТКО</w:t>
            </w:r>
          </w:p>
        </w:tc>
      </w:tr>
      <w:tr w:rsidR="00171D1D" w:rsidRPr="00592BA7"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6.1.</w:t>
            </w:r>
          </w:p>
        </w:tc>
        <w:tc>
          <w:tcPr>
            <w:tcW w:w="14612" w:type="dxa"/>
            <w:gridSpan w:val="10"/>
            <w:tcBorders>
              <w:top w:val="single" w:sz="4" w:space="0" w:color="auto"/>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Производственная программа </w:t>
            </w:r>
          </w:p>
        </w:tc>
      </w:tr>
      <w:tr w:rsidR="00171D1D" w:rsidRPr="00592BA7"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6.1.1.</w:t>
            </w:r>
          </w:p>
        </w:tc>
        <w:tc>
          <w:tcPr>
            <w:tcW w:w="5591" w:type="dxa"/>
            <w:gridSpan w:val="2"/>
            <w:tcBorders>
              <w:top w:val="single" w:sz="4" w:space="0" w:color="auto"/>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Объем вывоза ТКО от населения</w:t>
            </w:r>
          </w:p>
        </w:tc>
        <w:tc>
          <w:tcPr>
            <w:tcW w:w="156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тыс.т.</w:t>
            </w:r>
          </w:p>
        </w:tc>
        <w:tc>
          <w:tcPr>
            <w:tcW w:w="1078" w:type="dxa"/>
            <w:tcBorders>
              <w:top w:val="nil"/>
              <w:left w:val="nil"/>
              <w:bottom w:val="single" w:sz="4" w:space="0" w:color="auto"/>
              <w:right w:val="single" w:sz="4" w:space="0" w:color="auto"/>
            </w:tcBorders>
            <w:shd w:val="clear" w:color="auto" w:fill="auto"/>
            <w:vAlign w:val="bottom"/>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14,0</w:t>
            </w:r>
          </w:p>
        </w:tc>
        <w:tc>
          <w:tcPr>
            <w:tcW w:w="1037" w:type="dxa"/>
            <w:tcBorders>
              <w:top w:val="nil"/>
              <w:left w:val="nil"/>
              <w:bottom w:val="single" w:sz="4" w:space="0" w:color="auto"/>
              <w:right w:val="single" w:sz="4" w:space="0" w:color="auto"/>
            </w:tcBorders>
            <w:shd w:val="clear" w:color="auto" w:fill="auto"/>
            <w:vAlign w:val="bottom"/>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14,0</w:t>
            </w:r>
          </w:p>
        </w:tc>
        <w:tc>
          <w:tcPr>
            <w:tcW w:w="1037" w:type="dxa"/>
            <w:tcBorders>
              <w:top w:val="nil"/>
              <w:left w:val="nil"/>
              <w:bottom w:val="single" w:sz="4" w:space="0" w:color="auto"/>
              <w:right w:val="single" w:sz="4" w:space="0" w:color="auto"/>
            </w:tcBorders>
            <w:shd w:val="clear" w:color="auto" w:fill="auto"/>
            <w:vAlign w:val="bottom"/>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14,0</w:t>
            </w:r>
          </w:p>
        </w:tc>
        <w:tc>
          <w:tcPr>
            <w:tcW w:w="1037" w:type="dxa"/>
            <w:tcBorders>
              <w:top w:val="nil"/>
              <w:left w:val="nil"/>
              <w:bottom w:val="single" w:sz="4" w:space="0" w:color="auto"/>
              <w:right w:val="single" w:sz="4" w:space="0" w:color="auto"/>
            </w:tcBorders>
            <w:shd w:val="clear" w:color="auto" w:fill="auto"/>
            <w:vAlign w:val="bottom"/>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14,0</w:t>
            </w:r>
          </w:p>
        </w:tc>
        <w:tc>
          <w:tcPr>
            <w:tcW w:w="1037" w:type="dxa"/>
            <w:tcBorders>
              <w:top w:val="nil"/>
              <w:left w:val="nil"/>
              <w:bottom w:val="single" w:sz="4" w:space="0" w:color="auto"/>
              <w:right w:val="single" w:sz="4" w:space="0" w:color="auto"/>
            </w:tcBorders>
            <w:shd w:val="clear" w:color="auto" w:fill="auto"/>
            <w:vAlign w:val="bottom"/>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14,0</w:t>
            </w:r>
          </w:p>
        </w:tc>
        <w:tc>
          <w:tcPr>
            <w:tcW w:w="1037" w:type="dxa"/>
            <w:tcBorders>
              <w:top w:val="nil"/>
              <w:left w:val="nil"/>
              <w:bottom w:val="single" w:sz="4" w:space="0" w:color="auto"/>
              <w:right w:val="single" w:sz="4" w:space="0" w:color="auto"/>
            </w:tcBorders>
            <w:shd w:val="clear" w:color="auto" w:fill="auto"/>
            <w:vAlign w:val="bottom"/>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14,0</w:t>
            </w:r>
          </w:p>
        </w:tc>
        <w:tc>
          <w:tcPr>
            <w:tcW w:w="1198" w:type="dxa"/>
            <w:tcBorders>
              <w:top w:val="nil"/>
              <w:left w:val="nil"/>
              <w:bottom w:val="single" w:sz="4" w:space="0" w:color="auto"/>
              <w:right w:val="single" w:sz="4" w:space="0" w:color="auto"/>
            </w:tcBorders>
            <w:shd w:val="clear" w:color="auto" w:fill="auto"/>
            <w:vAlign w:val="bottom"/>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14,1</w:t>
            </w:r>
          </w:p>
        </w:tc>
      </w:tr>
      <w:tr w:rsidR="00171D1D" w:rsidRPr="00592BA7"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6.1.2.</w:t>
            </w:r>
          </w:p>
        </w:tc>
        <w:tc>
          <w:tcPr>
            <w:tcW w:w="2161"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Уровень обеспеченности услугой по вывозу и утилизации ТКО</w:t>
            </w:r>
          </w:p>
        </w:tc>
        <w:tc>
          <w:tcPr>
            <w:tcW w:w="343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Отношение численности населения, получающего услугу по вывозу и утилизации ТКО к общей численности населения</w:t>
            </w:r>
          </w:p>
        </w:tc>
        <w:tc>
          <w:tcPr>
            <w:tcW w:w="156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c>
          <w:tcPr>
            <w:tcW w:w="107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100,00</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100,00</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100,00</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100,00</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100,00</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100,00</w:t>
            </w:r>
          </w:p>
        </w:tc>
        <w:tc>
          <w:tcPr>
            <w:tcW w:w="119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100,00</w:t>
            </w:r>
          </w:p>
        </w:tc>
      </w:tr>
      <w:tr w:rsidR="00171D1D" w:rsidRPr="00592BA7"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6.1.3.</w:t>
            </w:r>
          </w:p>
        </w:tc>
        <w:tc>
          <w:tcPr>
            <w:tcW w:w="2161"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Удельное образование ТКО</w:t>
            </w:r>
          </w:p>
        </w:tc>
        <w:tc>
          <w:tcPr>
            <w:tcW w:w="343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Отношение объема ТКО к численности населения, получающего услуги</w:t>
            </w:r>
          </w:p>
        </w:tc>
        <w:tc>
          <w:tcPr>
            <w:tcW w:w="156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куб.м./чел.</w:t>
            </w:r>
          </w:p>
        </w:tc>
        <w:tc>
          <w:tcPr>
            <w:tcW w:w="107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1,896</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1,896</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1,896</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1,896</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1,896</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1,896</w:t>
            </w:r>
          </w:p>
        </w:tc>
        <w:tc>
          <w:tcPr>
            <w:tcW w:w="119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1,896</w:t>
            </w:r>
          </w:p>
        </w:tc>
      </w:tr>
      <w:tr w:rsidR="00171D1D" w:rsidRPr="00592BA7"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6.2.</w:t>
            </w:r>
          </w:p>
        </w:tc>
        <w:tc>
          <w:tcPr>
            <w:tcW w:w="14612" w:type="dxa"/>
            <w:gridSpan w:val="10"/>
            <w:tcBorders>
              <w:top w:val="single" w:sz="4" w:space="0" w:color="auto"/>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Надёжность вывоза и утилизации ТКО</w:t>
            </w:r>
          </w:p>
        </w:tc>
      </w:tr>
      <w:tr w:rsidR="00171D1D" w:rsidRPr="00592BA7"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6.2.1.</w:t>
            </w:r>
          </w:p>
        </w:tc>
        <w:tc>
          <w:tcPr>
            <w:tcW w:w="2161"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Уровень наполняемости полигона, %</w:t>
            </w:r>
          </w:p>
        </w:tc>
        <w:tc>
          <w:tcPr>
            <w:tcW w:w="343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Отношение накопленного объема ТКО к проектной вместимости</w:t>
            </w:r>
          </w:p>
        </w:tc>
        <w:tc>
          <w:tcPr>
            <w:tcW w:w="156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c>
          <w:tcPr>
            <w:tcW w:w="107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c>
          <w:tcPr>
            <w:tcW w:w="119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r>
      <w:tr w:rsidR="00171D1D" w:rsidRPr="00592BA7"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6.3.</w:t>
            </w:r>
          </w:p>
        </w:tc>
        <w:tc>
          <w:tcPr>
            <w:tcW w:w="14612" w:type="dxa"/>
            <w:gridSpan w:val="10"/>
            <w:tcBorders>
              <w:top w:val="single" w:sz="4" w:space="0" w:color="auto"/>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Доступность услуги по вывозу и утилизации ТКО</w:t>
            </w:r>
          </w:p>
        </w:tc>
      </w:tr>
      <w:tr w:rsidR="00171D1D" w:rsidRPr="00592BA7"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6.3.1.</w:t>
            </w:r>
          </w:p>
        </w:tc>
        <w:tc>
          <w:tcPr>
            <w:tcW w:w="2161"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Доля расходов на оплату услуг по вывозу и утилизации ТКО в совокупном доходе населения</w:t>
            </w:r>
          </w:p>
        </w:tc>
        <w:tc>
          <w:tcPr>
            <w:tcW w:w="343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Отношение среднемесячного платежа за услуги по вывозу и утилизации ТКО к среднемесячным денежным доходам населения</w:t>
            </w:r>
          </w:p>
        </w:tc>
        <w:tc>
          <w:tcPr>
            <w:tcW w:w="156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c>
          <w:tcPr>
            <w:tcW w:w="1078" w:type="dxa"/>
            <w:tcBorders>
              <w:top w:val="single" w:sz="4" w:space="0" w:color="auto"/>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0,2</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0,2</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0,2</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0,2</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0,2</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0,2</w:t>
            </w:r>
          </w:p>
        </w:tc>
        <w:tc>
          <w:tcPr>
            <w:tcW w:w="1198"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0,2</w:t>
            </w:r>
          </w:p>
        </w:tc>
      </w:tr>
    </w:tbl>
    <w:p w:rsidR="00171D1D" w:rsidRPr="00592BA7" w:rsidRDefault="00171D1D" w:rsidP="00592BA7">
      <w:pPr>
        <w:jc w:val="both"/>
        <w:rPr>
          <w:rFonts w:ascii="Times New Roman" w:hAnsi="Times New Roman" w:cs="Times New Roman"/>
          <w:sz w:val="20"/>
          <w:szCs w:val="20"/>
        </w:rPr>
      </w:pP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br w:type="page"/>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Таблица 5.2</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Целевые индикаторы и показатели муниципальной программы Шумерлинского муниципального округа Чувашской Республики «Энергосбережение и повышение энергетической эффективности в Шумерлинском муниципальном округе Чувашской Республики на 2022-2025 годы и на период до 2035 года»</w:t>
      </w:r>
    </w:p>
    <w:tbl>
      <w:tblPr>
        <w:tblW w:w="15170" w:type="dxa"/>
        <w:tblInd w:w="93" w:type="dxa"/>
        <w:tblLayout w:type="fixed"/>
        <w:tblLook w:val="04A0" w:firstRow="1" w:lastRow="0" w:firstColumn="1" w:lastColumn="0" w:noHBand="0" w:noVBand="1"/>
      </w:tblPr>
      <w:tblGrid>
        <w:gridCol w:w="611"/>
        <w:gridCol w:w="7088"/>
        <w:gridCol w:w="1176"/>
        <w:gridCol w:w="866"/>
        <w:gridCol w:w="866"/>
        <w:gridCol w:w="866"/>
        <w:gridCol w:w="866"/>
        <w:gridCol w:w="888"/>
        <w:gridCol w:w="993"/>
        <w:gridCol w:w="950"/>
      </w:tblGrid>
      <w:tr w:rsidR="00171D1D" w:rsidRPr="00592BA7" w:rsidTr="00592BA7">
        <w:trPr>
          <w:trHeight w:val="300"/>
          <w:tblHeader/>
        </w:trPr>
        <w:tc>
          <w:tcPr>
            <w:tcW w:w="61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п.п.</w:t>
            </w:r>
          </w:p>
        </w:tc>
        <w:tc>
          <w:tcPr>
            <w:tcW w:w="708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Целевой показатель (индикатор) (наименование)</w:t>
            </w:r>
          </w:p>
        </w:tc>
        <w:tc>
          <w:tcPr>
            <w:tcW w:w="117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Единица измерения</w:t>
            </w:r>
          </w:p>
        </w:tc>
        <w:tc>
          <w:tcPr>
            <w:tcW w:w="6295" w:type="dxa"/>
            <w:gridSpan w:val="7"/>
            <w:tcBorders>
              <w:top w:val="single" w:sz="4" w:space="0" w:color="auto"/>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Значения целевых показателей (индикаторов)</w:t>
            </w:r>
          </w:p>
        </w:tc>
      </w:tr>
      <w:tr w:rsidR="00171D1D" w:rsidRPr="00592BA7" w:rsidTr="00592BA7">
        <w:trPr>
          <w:trHeight w:val="300"/>
          <w:tblHeader/>
        </w:trPr>
        <w:tc>
          <w:tcPr>
            <w:tcW w:w="611"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p>
        </w:tc>
        <w:tc>
          <w:tcPr>
            <w:tcW w:w="708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p>
        </w:tc>
        <w:tc>
          <w:tcPr>
            <w:tcW w:w="117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p>
        </w:tc>
        <w:tc>
          <w:tcPr>
            <w:tcW w:w="866"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2023 г.</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2024 г.</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2025 г.</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2026 г.</w:t>
            </w:r>
          </w:p>
        </w:tc>
        <w:tc>
          <w:tcPr>
            <w:tcW w:w="88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2027 г.</w:t>
            </w:r>
          </w:p>
        </w:tc>
        <w:tc>
          <w:tcPr>
            <w:tcW w:w="993"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2028 г.</w:t>
            </w:r>
          </w:p>
        </w:tc>
        <w:tc>
          <w:tcPr>
            <w:tcW w:w="950" w:type="dxa"/>
            <w:tcBorders>
              <w:top w:val="nil"/>
              <w:left w:val="nil"/>
              <w:bottom w:val="single" w:sz="4" w:space="0" w:color="auto"/>
              <w:right w:val="single" w:sz="4" w:space="0" w:color="auto"/>
            </w:tcBorders>
            <w:shd w:val="clear" w:color="auto" w:fill="auto"/>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2029-2034 гг.</w:t>
            </w:r>
          </w:p>
        </w:tc>
      </w:tr>
      <w:tr w:rsidR="00171D1D" w:rsidRPr="00592BA7" w:rsidTr="00592BA7">
        <w:trPr>
          <w:trHeight w:val="480"/>
        </w:trPr>
        <w:tc>
          <w:tcPr>
            <w:tcW w:w="611"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w:t>
            </w:r>
          </w:p>
        </w:tc>
        <w:tc>
          <w:tcPr>
            <w:tcW w:w="7088"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Доля потребления муниципальными учреждениями тепловой энергии приобретаемой по приборам учета, в общем объеме потребления тепловой энергии муниципальными учреждениями на территории Шумерлинского муниципального округа </w:t>
            </w:r>
          </w:p>
        </w:tc>
        <w:tc>
          <w:tcPr>
            <w:tcW w:w="1176"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w:t>
            </w:r>
          </w:p>
        </w:tc>
        <w:tc>
          <w:tcPr>
            <w:tcW w:w="88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w:t>
            </w:r>
          </w:p>
        </w:tc>
        <w:tc>
          <w:tcPr>
            <w:tcW w:w="993"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w:t>
            </w:r>
          </w:p>
        </w:tc>
        <w:tc>
          <w:tcPr>
            <w:tcW w:w="950"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w:t>
            </w:r>
          </w:p>
        </w:tc>
      </w:tr>
      <w:tr w:rsidR="00171D1D" w:rsidRPr="00592BA7" w:rsidTr="00592BA7">
        <w:trPr>
          <w:trHeight w:val="300"/>
        </w:trPr>
        <w:tc>
          <w:tcPr>
            <w:tcW w:w="611"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w:t>
            </w:r>
          </w:p>
        </w:tc>
        <w:tc>
          <w:tcPr>
            <w:tcW w:w="7088"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Доля потребления муниципальными учреждениями электрической энергии приобретаемой по приборам учета, в общем объеме потребления электрической энергии муниципальными учреждениями на территории Шумерлинского муниципального округа </w:t>
            </w:r>
          </w:p>
        </w:tc>
        <w:tc>
          <w:tcPr>
            <w:tcW w:w="1176"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w:t>
            </w:r>
          </w:p>
        </w:tc>
        <w:tc>
          <w:tcPr>
            <w:tcW w:w="88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w:t>
            </w:r>
          </w:p>
        </w:tc>
        <w:tc>
          <w:tcPr>
            <w:tcW w:w="993"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w:t>
            </w:r>
          </w:p>
        </w:tc>
        <w:tc>
          <w:tcPr>
            <w:tcW w:w="950"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w:t>
            </w:r>
          </w:p>
        </w:tc>
      </w:tr>
      <w:tr w:rsidR="00171D1D" w:rsidRPr="00592BA7" w:rsidTr="00592BA7">
        <w:trPr>
          <w:trHeight w:val="300"/>
        </w:trPr>
        <w:tc>
          <w:tcPr>
            <w:tcW w:w="611"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w:t>
            </w:r>
          </w:p>
        </w:tc>
        <w:tc>
          <w:tcPr>
            <w:tcW w:w="7088"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Доля потребления муниципальными учреждениями холодной воды приобретаемой по приборам учета, в общем объеме потребления холодной воды муниципальными учреждениями на территории Шумерлинского муниципального округа </w:t>
            </w:r>
          </w:p>
        </w:tc>
        <w:tc>
          <w:tcPr>
            <w:tcW w:w="1176"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81,1</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w:t>
            </w:r>
          </w:p>
        </w:tc>
        <w:tc>
          <w:tcPr>
            <w:tcW w:w="88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w:t>
            </w:r>
          </w:p>
        </w:tc>
        <w:tc>
          <w:tcPr>
            <w:tcW w:w="993"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w:t>
            </w:r>
          </w:p>
        </w:tc>
        <w:tc>
          <w:tcPr>
            <w:tcW w:w="950"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w:t>
            </w:r>
          </w:p>
        </w:tc>
      </w:tr>
      <w:tr w:rsidR="00171D1D" w:rsidRPr="00592BA7" w:rsidTr="00592BA7">
        <w:trPr>
          <w:trHeight w:val="300"/>
        </w:trPr>
        <w:tc>
          <w:tcPr>
            <w:tcW w:w="611"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w:t>
            </w:r>
          </w:p>
        </w:tc>
        <w:tc>
          <w:tcPr>
            <w:tcW w:w="7088"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Доля потребления муниципальными учреждениями природного газа приобретаемого по приборам учета, в общем объеме потребления природного газа муниципальными учреждениями на территории Шумерлинского муниципального округа </w:t>
            </w:r>
          </w:p>
        </w:tc>
        <w:tc>
          <w:tcPr>
            <w:tcW w:w="1176"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w:t>
            </w:r>
          </w:p>
        </w:tc>
        <w:tc>
          <w:tcPr>
            <w:tcW w:w="88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w:t>
            </w:r>
          </w:p>
        </w:tc>
        <w:tc>
          <w:tcPr>
            <w:tcW w:w="993"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w:t>
            </w:r>
          </w:p>
        </w:tc>
        <w:tc>
          <w:tcPr>
            <w:tcW w:w="950"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w:t>
            </w:r>
          </w:p>
        </w:tc>
      </w:tr>
      <w:tr w:rsidR="00171D1D" w:rsidRPr="00592BA7" w:rsidTr="00592BA7">
        <w:trPr>
          <w:trHeight w:val="300"/>
        </w:trPr>
        <w:tc>
          <w:tcPr>
            <w:tcW w:w="611"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5.</w:t>
            </w:r>
          </w:p>
        </w:tc>
        <w:tc>
          <w:tcPr>
            <w:tcW w:w="7088"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Удельный расход тепловой энергии зданиями и помещениями учебно-воспитательного назначения муниципальных организаций, находящихся в ведении органов местного самоуправления Шумерлинского муниципального округа </w:t>
            </w:r>
          </w:p>
        </w:tc>
        <w:tc>
          <w:tcPr>
            <w:tcW w:w="1176"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Гкал/м2</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0,201</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0,2</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0,197</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0,186</w:t>
            </w:r>
          </w:p>
        </w:tc>
        <w:tc>
          <w:tcPr>
            <w:tcW w:w="88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0,186</w:t>
            </w:r>
          </w:p>
        </w:tc>
        <w:tc>
          <w:tcPr>
            <w:tcW w:w="993"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0,186</w:t>
            </w:r>
          </w:p>
        </w:tc>
        <w:tc>
          <w:tcPr>
            <w:tcW w:w="950"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0,163</w:t>
            </w:r>
          </w:p>
        </w:tc>
      </w:tr>
      <w:tr w:rsidR="00171D1D" w:rsidRPr="00592BA7" w:rsidTr="00592BA7">
        <w:trPr>
          <w:trHeight w:val="300"/>
        </w:trPr>
        <w:tc>
          <w:tcPr>
            <w:tcW w:w="611"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w:t>
            </w:r>
          </w:p>
        </w:tc>
        <w:tc>
          <w:tcPr>
            <w:tcW w:w="7088"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Удельный расход электрической энергии зданиями и помещениями учебно-воспитательного назначения муниципальных организаций, находящихся в ведении органов местного самоуправления Шумерлинского муниципального </w:t>
            </w:r>
            <w:r w:rsidRPr="00592BA7">
              <w:rPr>
                <w:rFonts w:ascii="Times New Roman" w:hAnsi="Times New Roman" w:cs="Times New Roman"/>
                <w:sz w:val="20"/>
                <w:szCs w:val="20"/>
              </w:rPr>
              <w:lastRenderedPageBreak/>
              <w:t xml:space="preserve">округа </w:t>
            </w:r>
          </w:p>
        </w:tc>
        <w:tc>
          <w:tcPr>
            <w:tcW w:w="1176"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кВтч/м2</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21,73</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21,642</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21,459</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20,582</w:t>
            </w:r>
          </w:p>
        </w:tc>
        <w:tc>
          <w:tcPr>
            <w:tcW w:w="88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20,582</w:t>
            </w:r>
          </w:p>
        </w:tc>
        <w:tc>
          <w:tcPr>
            <w:tcW w:w="993"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20,582</w:t>
            </w:r>
          </w:p>
        </w:tc>
        <w:tc>
          <w:tcPr>
            <w:tcW w:w="950"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18,826</w:t>
            </w:r>
          </w:p>
        </w:tc>
      </w:tr>
      <w:tr w:rsidR="00171D1D" w:rsidRPr="00592BA7" w:rsidTr="00592BA7">
        <w:trPr>
          <w:trHeight w:val="300"/>
        </w:trPr>
        <w:tc>
          <w:tcPr>
            <w:tcW w:w="611"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7.</w:t>
            </w:r>
          </w:p>
        </w:tc>
        <w:tc>
          <w:tcPr>
            <w:tcW w:w="7088"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Удельный расход холодной воды зданиями и помещениями учебно-воспитательного назначения муниципальных организаций, находящихся в ведении органов местного самоуправления Шумерлинского муниципального округа </w:t>
            </w:r>
          </w:p>
        </w:tc>
        <w:tc>
          <w:tcPr>
            <w:tcW w:w="1176"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м3/чел.</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2,045</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2,045</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2,045</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2,045</w:t>
            </w:r>
          </w:p>
        </w:tc>
        <w:tc>
          <w:tcPr>
            <w:tcW w:w="88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2,045</w:t>
            </w:r>
          </w:p>
        </w:tc>
        <w:tc>
          <w:tcPr>
            <w:tcW w:w="993"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2,045</w:t>
            </w:r>
          </w:p>
        </w:tc>
        <w:tc>
          <w:tcPr>
            <w:tcW w:w="950"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2,045</w:t>
            </w:r>
          </w:p>
        </w:tc>
      </w:tr>
      <w:tr w:rsidR="00171D1D" w:rsidRPr="00592BA7" w:rsidTr="00592BA7">
        <w:trPr>
          <w:trHeight w:val="300"/>
        </w:trPr>
        <w:tc>
          <w:tcPr>
            <w:tcW w:w="611"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8.</w:t>
            </w:r>
          </w:p>
        </w:tc>
        <w:tc>
          <w:tcPr>
            <w:tcW w:w="7088"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Удельный расход природного газа зданиями и помещениями учебно-воспитательного назначения муниципальных организаций, находящихся в ведении органов местного самоуправления Шумерлинского муниципального округа </w:t>
            </w:r>
          </w:p>
        </w:tc>
        <w:tc>
          <w:tcPr>
            <w:tcW w:w="1176"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м3/чел.</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692,236</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690,4</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686,851</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669,47</w:t>
            </w:r>
          </w:p>
        </w:tc>
        <w:tc>
          <w:tcPr>
            <w:tcW w:w="88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669,47</w:t>
            </w:r>
          </w:p>
        </w:tc>
        <w:tc>
          <w:tcPr>
            <w:tcW w:w="993"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669,47</w:t>
            </w:r>
          </w:p>
        </w:tc>
        <w:tc>
          <w:tcPr>
            <w:tcW w:w="950"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634,733</w:t>
            </w:r>
          </w:p>
        </w:tc>
      </w:tr>
      <w:tr w:rsidR="00171D1D" w:rsidRPr="00592BA7" w:rsidTr="00592BA7">
        <w:trPr>
          <w:trHeight w:val="300"/>
        </w:trPr>
        <w:tc>
          <w:tcPr>
            <w:tcW w:w="611"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9.</w:t>
            </w:r>
          </w:p>
        </w:tc>
        <w:tc>
          <w:tcPr>
            <w:tcW w:w="7088"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Удельный расход электрической энергии зданиями и помещениями физкультурного, спортивного и физкультурно-досугового назначения муниципальных организаций, находящихся в ведении органов местного самоуправления Шумерлинского муниципального округа </w:t>
            </w:r>
          </w:p>
        </w:tc>
        <w:tc>
          <w:tcPr>
            <w:tcW w:w="1176"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кВтч/м2</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18,534</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18,534</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18,534</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18,534</w:t>
            </w:r>
          </w:p>
        </w:tc>
        <w:tc>
          <w:tcPr>
            <w:tcW w:w="88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18,534</w:t>
            </w:r>
          </w:p>
        </w:tc>
        <w:tc>
          <w:tcPr>
            <w:tcW w:w="993"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18,534</w:t>
            </w:r>
          </w:p>
        </w:tc>
        <w:tc>
          <w:tcPr>
            <w:tcW w:w="950"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18,534</w:t>
            </w:r>
          </w:p>
        </w:tc>
      </w:tr>
      <w:tr w:rsidR="00171D1D" w:rsidRPr="00592BA7" w:rsidTr="00592BA7">
        <w:trPr>
          <w:trHeight w:val="330"/>
        </w:trPr>
        <w:tc>
          <w:tcPr>
            <w:tcW w:w="611"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w:t>
            </w:r>
          </w:p>
        </w:tc>
        <w:tc>
          <w:tcPr>
            <w:tcW w:w="7088"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Удельный расход природного газа зданиями и помещениями физкультурного, спортивного и физкультурно-досугового назначения муниципальных организаций, находящихся в ведении органов местного самоуправления Шумерлинского муниципального округа </w:t>
            </w:r>
          </w:p>
        </w:tc>
        <w:tc>
          <w:tcPr>
            <w:tcW w:w="1176"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м3/чел.</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579,905</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577,524</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572,762</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551,333</w:t>
            </w:r>
          </w:p>
        </w:tc>
        <w:tc>
          <w:tcPr>
            <w:tcW w:w="88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551,333</w:t>
            </w:r>
          </w:p>
        </w:tc>
        <w:tc>
          <w:tcPr>
            <w:tcW w:w="993"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551,333</w:t>
            </w:r>
          </w:p>
        </w:tc>
        <w:tc>
          <w:tcPr>
            <w:tcW w:w="950"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512,286</w:t>
            </w:r>
          </w:p>
        </w:tc>
      </w:tr>
      <w:tr w:rsidR="00171D1D" w:rsidRPr="00592BA7" w:rsidTr="00592BA7">
        <w:trPr>
          <w:trHeight w:val="300"/>
        </w:trPr>
        <w:tc>
          <w:tcPr>
            <w:tcW w:w="611"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11.</w:t>
            </w:r>
          </w:p>
        </w:tc>
        <w:tc>
          <w:tcPr>
            <w:tcW w:w="7088"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Удельный расход электрической энергии на снабжение органов местного самоуправления Шумерлинского муниципального округа </w:t>
            </w:r>
          </w:p>
        </w:tc>
        <w:tc>
          <w:tcPr>
            <w:tcW w:w="1176"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кВтч/м2</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68,985</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68,452</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67,387</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62,127</w:t>
            </w:r>
          </w:p>
        </w:tc>
        <w:tc>
          <w:tcPr>
            <w:tcW w:w="88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62,127</w:t>
            </w:r>
          </w:p>
        </w:tc>
        <w:tc>
          <w:tcPr>
            <w:tcW w:w="993"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62,127</w:t>
            </w:r>
          </w:p>
        </w:tc>
        <w:tc>
          <w:tcPr>
            <w:tcW w:w="950"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51,485</w:t>
            </w:r>
          </w:p>
        </w:tc>
      </w:tr>
      <w:tr w:rsidR="00171D1D" w:rsidRPr="00592BA7" w:rsidTr="00592BA7">
        <w:trPr>
          <w:trHeight w:val="300"/>
        </w:trPr>
        <w:tc>
          <w:tcPr>
            <w:tcW w:w="611"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12.</w:t>
            </w:r>
          </w:p>
        </w:tc>
        <w:tc>
          <w:tcPr>
            <w:tcW w:w="7088"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Удельный расход холодной воды на снабжение органов местного самоуправления Шумерлинского муниципального округа </w:t>
            </w:r>
          </w:p>
        </w:tc>
        <w:tc>
          <w:tcPr>
            <w:tcW w:w="1176"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м3/чел.</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6,489</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6,466</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6,418</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6,188</w:t>
            </w:r>
          </w:p>
        </w:tc>
        <w:tc>
          <w:tcPr>
            <w:tcW w:w="88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6,188</w:t>
            </w:r>
          </w:p>
        </w:tc>
        <w:tc>
          <w:tcPr>
            <w:tcW w:w="993"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6,188</w:t>
            </w:r>
          </w:p>
        </w:tc>
        <w:tc>
          <w:tcPr>
            <w:tcW w:w="950"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5,728</w:t>
            </w:r>
          </w:p>
        </w:tc>
      </w:tr>
      <w:tr w:rsidR="00171D1D" w:rsidRPr="00592BA7" w:rsidTr="00592BA7">
        <w:trPr>
          <w:trHeight w:val="300"/>
        </w:trPr>
        <w:tc>
          <w:tcPr>
            <w:tcW w:w="611"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13.</w:t>
            </w:r>
          </w:p>
        </w:tc>
        <w:tc>
          <w:tcPr>
            <w:tcW w:w="7088"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Удельный расход тепловой энергии на снабжение органов местного самоуправления и муниципальных учреждений Шумерлинского муниципального округа </w:t>
            </w:r>
          </w:p>
        </w:tc>
        <w:tc>
          <w:tcPr>
            <w:tcW w:w="1176"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Гкал/м2</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0,201</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0,2</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0,197</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0,186</w:t>
            </w:r>
          </w:p>
        </w:tc>
        <w:tc>
          <w:tcPr>
            <w:tcW w:w="88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0,186</w:t>
            </w:r>
          </w:p>
        </w:tc>
        <w:tc>
          <w:tcPr>
            <w:tcW w:w="993"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0,186</w:t>
            </w:r>
          </w:p>
        </w:tc>
        <w:tc>
          <w:tcPr>
            <w:tcW w:w="950"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0,163</w:t>
            </w:r>
          </w:p>
        </w:tc>
      </w:tr>
      <w:tr w:rsidR="00171D1D" w:rsidRPr="00592BA7" w:rsidTr="00592BA7">
        <w:trPr>
          <w:trHeight w:val="300"/>
        </w:trPr>
        <w:tc>
          <w:tcPr>
            <w:tcW w:w="611"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14.</w:t>
            </w:r>
          </w:p>
        </w:tc>
        <w:tc>
          <w:tcPr>
            <w:tcW w:w="7088"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Удельный расход электрической энергии на снабжение органов местного самоуправления и муниципальных учреждений Шумерлинского муниципального округа </w:t>
            </w:r>
          </w:p>
        </w:tc>
        <w:tc>
          <w:tcPr>
            <w:tcW w:w="1176"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кВтч/м2</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25,429</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25,304</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25,058</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23,87</w:t>
            </w:r>
          </w:p>
        </w:tc>
        <w:tc>
          <w:tcPr>
            <w:tcW w:w="88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23,87</w:t>
            </w:r>
          </w:p>
        </w:tc>
        <w:tc>
          <w:tcPr>
            <w:tcW w:w="993"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23,87</w:t>
            </w:r>
          </w:p>
        </w:tc>
        <w:tc>
          <w:tcPr>
            <w:tcW w:w="950"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21,485</w:t>
            </w:r>
          </w:p>
        </w:tc>
      </w:tr>
      <w:tr w:rsidR="00171D1D" w:rsidRPr="00592BA7" w:rsidTr="00592BA7">
        <w:trPr>
          <w:trHeight w:val="270"/>
        </w:trPr>
        <w:tc>
          <w:tcPr>
            <w:tcW w:w="611"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15.</w:t>
            </w:r>
          </w:p>
        </w:tc>
        <w:tc>
          <w:tcPr>
            <w:tcW w:w="7088"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Удельный расход холодной воды на снабжение органов местного самоуправления и муниципальных учреждений Шумерлинского муниципального округа </w:t>
            </w:r>
          </w:p>
        </w:tc>
        <w:tc>
          <w:tcPr>
            <w:tcW w:w="1176"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м3/чел.</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3,072</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3,066</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3,055</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3,002</w:t>
            </w:r>
          </w:p>
        </w:tc>
        <w:tc>
          <w:tcPr>
            <w:tcW w:w="88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3,002</w:t>
            </w:r>
          </w:p>
        </w:tc>
        <w:tc>
          <w:tcPr>
            <w:tcW w:w="993"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3,002</w:t>
            </w:r>
          </w:p>
        </w:tc>
        <w:tc>
          <w:tcPr>
            <w:tcW w:w="950"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2,896</w:t>
            </w:r>
          </w:p>
        </w:tc>
      </w:tr>
      <w:tr w:rsidR="00171D1D" w:rsidRPr="00592BA7" w:rsidTr="00592BA7">
        <w:trPr>
          <w:trHeight w:val="300"/>
        </w:trPr>
        <w:tc>
          <w:tcPr>
            <w:tcW w:w="611"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16.</w:t>
            </w:r>
          </w:p>
        </w:tc>
        <w:tc>
          <w:tcPr>
            <w:tcW w:w="7088"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Удельный расход природного газа на снабжение органов местного самоуправления и муниципальных учреждений Шумерлинского муниципального округа </w:t>
            </w:r>
          </w:p>
        </w:tc>
        <w:tc>
          <w:tcPr>
            <w:tcW w:w="1176"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м3/чел.</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686,744</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684,881</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681,272</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663,694</w:t>
            </w:r>
          </w:p>
        </w:tc>
        <w:tc>
          <w:tcPr>
            <w:tcW w:w="88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663,694</w:t>
            </w:r>
          </w:p>
        </w:tc>
        <w:tc>
          <w:tcPr>
            <w:tcW w:w="993"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663,694</w:t>
            </w:r>
          </w:p>
        </w:tc>
        <w:tc>
          <w:tcPr>
            <w:tcW w:w="950"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628,746</w:t>
            </w:r>
          </w:p>
        </w:tc>
      </w:tr>
      <w:tr w:rsidR="00171D1D" w:rsidRPr="00592BA7" w:rsidTr="00592BA7">
        <w:trPr>
          <w:trHeight w:val="240"/>
        </w:trPr>
        <w:tc>
          <w:tcPr>
            <w:tcW w:w="611"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17.</w:t>
            </w:r>
          </w:p>
        </w:tc>
        <w:tc>
          <w:tcPr>
            <w:tcW w:w="7088"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Доля многоквартирных домов, оснащенных коллективными (общедомовыми) приборами учета тепловой энергии в общем числе многоквартирных домов, расположенных на территории Шумерлинского муниципального округа </w:t>
            </w:r>
          </w:p>
        </w:tc>
        <w:tc>
          <w:tcPr>
            <w:tcW w:w="1176"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66,7</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66,7</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66,7</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w:t>
            </w:r>
          </w:p>
        </w:tc>
        <w:tc>
          <w:tcPr>
            <w:tcW w:w="88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w:t>
            </w:r>
          </w:p>
        </w:tc>
        <w:tc>
          <w:tcPr>
            <w:tcW w:w="993"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w:t>
            </w:r>
          </w:p>
        </w:tc>
        <w:tc>
          <w:tcPr>
            <w:tcW w:w="950"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w:t>
            </w:r>
          </w:p>
        </w:tc>
      </w:tr>
      <w:tr w:rsidR="00171D1D" w:rsidRPr="00592BA7" w:rsidTr="00592BA7">
        <w:trPr>
          <w:trHeight w:val="300"/>
        </w:trPr>
        <w:tc>
          <w:tcPr>
            <w:tcW w:w="611"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18.</w:t>
            </w:r>
          </w:p>
        </w:tc>
        <w:tc>
          <w:tcPr>
            <w:tcW w:w="7088"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Доля многоквартирных домов, оснащенных коллективными (общедомовыми) приборами учета электрической энергии в общем числе многоквартирных домов, расположенных на территории Шумерлинского муниципального округа </w:t>
            </w:r>
          </w:p>
        </w:tc>
        <w:tc>
          <w:tcPr>
            <w:tcW w:w="1176"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w:t>
            </w:r>
          </w:p>
        </w:tc>
        <w:tc>
          <w:tcPr>
            <w:tcW w:w="88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w:t>
            </w:r>
          </w:p>
        </w:tc>
        <w:tc>
          <w:tcPr>
            <w:tcW w:w="993"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w:t>
            </w:r>
          </w:p>
        </w:tc>
        <w:tc>
          <w:tcPr>
            <w:tcW w:w="950"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w:t>
            </w:r>
          </w:p>
        </w:tc>
      </w:tr>
      <w:tr w:rsidR="00171D1D" w:rsidRPr="00592BA7" w:rsidTr="00592BA7">
        <w:trPr>
          <w:trHeight w:val="300"/>
        </w:trPr>
        <w:tc>
          <w:tcPr>
            <w:tcW w:w="611"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19.</w:t>
            </w:r>
          </w:p>
        </w:tc>
        <w:tc>
          <w:tcPr>
            <w:tcW w:w="7088"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Доля многоквартирных домов, оснащенных коллективными (общедомовыми) приборами учета холодной воды в общем числе многоквартирных домов, расположенных на территории Шумерлинского муниципального округа </w:t>
            </w:r>
          </w:p>
        </w:tc>
        <w:tc>
          <w:tcPr>
            <w:tcW w:w="1176"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w:t>
            </w:r>
          </w:p>
        </w:tc>
        <w:tc>
          <w:tcPr>
            <w:tcW w:w="88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w:t>
            </w:r>
          </w:p>
        </w:tc>
        <w:tc>
          <w:tcPr>
            <w:tcW w:w="993"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w:t>
            </w:r>
          </w:p>
        </w:tc>
        <w:tc>
          <w:tcPr>
            <w:tcW w:w="950"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w:t>
            </w:r>
          </w:p>
        </w:tc>
      </w:tr>
      <w:tr w:rsidR="00171D1D" w:rsidRPr="00592BA7" w:rsidTr="00592BA7">
        <w:trPr>
          <w:trHeight w:val="300"/>
        </w:trPr>
        <w:tc>
          <w:tcPr>
            <w:tcW w:w="611"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w:t>
            </w:r>
          </w:p>
        </w:tc>
        <w:tc>
          <w:tcPr>
            <w:tcW w:w="7088"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Доля жилых, нежилых помещений в многоквартирных домах, жилых домах (домовладениях), оснащенных индивидуальными приборами учета тепловой энергии в общем числе жилых, нежилых помещений в многоквартирных домах, жилых домах (домовладениях), расположенных на территории Шумерлинского муниципального округа </w:t>
            </w:r>
          </w:p>
        </w:tc>
        <w:tc>
          <w:tcPr>
            <w:tcW w:w="1176"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66,7</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66,7</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66,7</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69,8</w:t>
            </w:r>
          </w:p>
        </w:tc>
        <w:tc>
          <w:tcPr>
            <w:tcW w:w="88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69,8</w:t>
            </w:r>
          </w:p>
        </w:tc>
        <w:tc>
          <w:tcPr>
            <w:tcW w:w="993"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69,8</w:t>
            </w:r>
          </w:p>
        </w:tc>
        <w:tc>
          <w:tcPr>
            <w:tcW w:w="950"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73</w:t>
            </w:r>
          </w:p>
        </w:tc>
      </w:tr>
      <w:tr w:rsidR="00171D1D" w:rsidRPr="00592BA7" w:rsidTr="00592BA7">
        <w:trPr>
          <w:trHeight w:val="300"/>
        </w:trPr>
        <w:tc>
          <w:tcPr>
            <w:tcW w:w="611"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21.</w:t>
            </w:r>
          </w:p>
        </w:tc>
        <w:tc>
          <w:tcPr>
            <w:tcW w:w="7088"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Доля жилых, нежилых помещений в многоквартирных домах, жилых домах (домовладениях), оснащенных индивидуальными приборами учета электрической энергии в общем числе жилых, нежилых помещений в </w:t>
            </w:r>
            <w:r w:rsidRPr="00592BA7">
              <w:rPr>
                <w:rFonts w:ascii="Times New Roman" w:hAnsi="Times New Roman" w:cs="Times New Roman"/>
                <w:sz w:val="20"/>
                <w:szCs w:val="20"/>
              </w:rPr>
              <w:lastRenderedPageBreak/>
              <w:t xml:space="preserve">многоквартирных домах, жилых домах (домовладениях), расположенных на территории Шумерлинского муниципального округа </w:t>
            </w:r>
          </w:p>
        </w:tc>
        <w:tc>
          <w:tcPr>
            <w:tcW w:w="1176"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w:t>
            </w:r>
          </w:p>
        </w:tc>
        <w:tc>
          <w:tcPr>
            <w:tcW w:w="88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w:t>
            </w:r>
          </w:p>
        </w:tc>
        <w:tc>
          <w:tcPr>
            <w:tcW w:w="993"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w:t>
            </w:r>
          </w:p>
        </w:tc>
        <w:tc>
          <w:tcPr>
            <w:tcW w:w="950"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w:t>
            </w:r>
          </w:p>
        </w:tc>
      </w:tr>
      <w:tr w:rsidR="00171D1D" w:rsidRPr="00592BA7" w:rsidTr="00592BA7">
        <w:trPr>
          <w:trHeight w:val="300"/>
        </w:trPr>
        <w:tc>
          <w:tcPr>
            <w:tcW w:w="611"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22.</w:t>
            </w:r>
          </w:p>
        </w:tc>
        <w:tc>
          <w:tcPr>
            <w:tcW w:w="7088"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Доля жилых, нежилых помещений в многоквартирных домах, жилых домах (домовладениях), оснащенных индивидуальными приборами учета холодной воды в общем числе жилых, нежилых помещений в многоквартирных домах, жилых домах (домовладениях), расположенных на территории Шумерлинского муниципального округа </w:t>
            </w:r>
          </w:p>
        </w:tc>
        <w:tc>
          <w:tcPr>
            <w:tcW w:w="1176"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w:t>
            </w:r>
          </w:p>
        </w:tc>
        <w:tc>
          <w:tcPr>
            <w:tcW w:w="88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w:t>
            </w:r>
          </w:p>
        </w:tc>
        <w:tc>
          <w:tcPr>
            <w:tcW w:w="993"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w:t>
            </w:r>
          </w:p>
        </w:tc>
        <w:tc>
          <w:tcPr>
            <w:tcW w:w="950"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w:t>
            </w:r>
          </w:p>
        </w:tc>
      </w:tr>
      <w:tr w:rsidR="00171D1D" w:rsidRPr="00592BA7" w:rsidTr="00592BA7">
        <w:trPr>
          <w:trHeight w:val="300"/>
        </w:trPr>
        <w:tc>
          <w:tcPr>
            <w:tcW w:w="611"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23.</w:t>
            </w:r>
          </w:p>
        </w:tc>
        <w:tc>
          <w:tcPr>
            <w:tcW w:w="7088"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Доля жилых, нежилых помещений в многоквартирных домах, жилых домах (домовладениях), оснащенных индивидуальными приборами учета природного газа используемого на цели отопления в общем числе жилых, нежилых помещений в многоквартирных домах, жилых домах (домовладениях), расположенных на территории Шумерлинского муниципального округа </w:t>
            </w:r>
          </w:p>
        </w:tc>
        <w:tc>
          <w:tcPr>
            <w:tcW w:w="1176"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99</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99</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99</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99,1</w:t>
            </w:r>
          </w:p>
        </w:tc>
        <w:tc>
          <w:tcPr>
            <w:tcW w:w="88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99,1</w:t>
            </w:r>
          </w:p>
        </w:tc>
        <w:tc>
          <w:tcPr>
            <w:tcW w:w="993"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99,1</w:t>
            </w:r>
          </w:p>
        </w:tc>
        <w:tc>
          <w:tcPr>
            <w:tcW w:w="950"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99,2</w:t>
            </w:r>
          </w:p>
        </w:tc>
      </w:tr>
      <w:tr w:rsidR="00171D1D" w:rsidRPr="00592BA7" w:rsidTr="00592BA7">
        <w:trPr>
          <w:trHeight w:val="300"/>
        </w:trPr>
        <w:tc>
          <w:tcPr>
            <w:tcW w:w="611"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24.</w:t>
            </w:r>
          </w:p>
        </w:tc>
        <w:tc>
          <w:tcPr>
            <w:tcW w:w="7088"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Доля многоквартирных домов, расположенных на территории Шумерлинского муниципального округа, имеющих класс энергетической эффективности "В" и выше</w:t>
            </w:r>
          </w:p>
        </w:tc>
        <w:tc>
          <w:tcPr>
            <w:tcW w:w="1176"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0,4</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1,4</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6,3</w:t>
            </w:r>
          </w:p>
        </w:tc>
        <w:tc>
          <w:tcPr>
            <w:tcW w:w="88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6,3</w:t>
            </w:r>
          </w:p>
        </w:tc>
        <w:tc>
          <w:tcPr>
            <w:tcW w:w="993"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6,3</w:t>
            </w:r>
          </w:p>
        </w:tc>
        <w:tc>
          <w:tcPr>
            <w:tcW w:w="950"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17,4</w:t>
            </w:r>
          </w:p>
        </w:tc>
      </w:tr>
      <w:tr w:rsidR="00171D1D" w:rsidRPr="00592BA7" w:rsidTr="00592BA7">
        <w:trPr>
          <w:trHeight w:val="300"/>
        </w:trPr>
        <w:tc>
          <w:tcPr>
            <w:tcW w:w="611"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25.</w:t>
            </w:r>
          </w:p>
        </w:tc>
        <w:tc>
          <w:tcPr>
            <w:tcW w:w="7088"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Доля энергоэффективных капитальных ремонтов многоквартирных домов в общем объеме проведенных капитальных ремонтов многоквартирных домов на территории Шумерлинского муниципального округа </w:t>
            </w:r>
          </w:p>
        </w:tc>
        <w:tc>
          <w:tcPr>
            <w:tcW w:w="1176"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16,7</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25</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33,3</w:t>
            </w:r>
          </w:p>
        </w:tc>
        <w:tc>
          <w:tcPr>
            <w:tcW w:w="88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33,3</w:t>
            </w:r>
          </w:p>
        </w:tc>
        <w:tc>
          <w:tcPr>
            <w:tcW w:w="993"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33,3</w:t>
            </w:r>
          </w:p>
        </w:tc>
        <w:tc>
          <w:tcPr>
            <w:tcW w:w="950"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50</w:t>
            </w:r>
          </w:p>
        </w:tc>
      </w:tr>
      <w:tr w:rsidR="00171D1D" w:rsidRPr="00592BA7" w:rsidTr="00592BA7">
        <w:trPr>
          <w:trHeight w:val="240"/>
        </w:trPr>
        <w:tc>
          <w:tcPr>
            <w:tcW w:w="611"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26.</w:t>
            </w:r>
          </w:p>
        </w:tc>
        <w:tc>
          <w:tcPr>
            <w:tcW w:w="7088"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Удельный расход тепловой энергии в многоквартирных домах, расположенных на территории Шумерлинского муниципального округа </w:t>
            </w:r>
          </w:p>
        </w:tc>
        <w:tc>
          <w:tcPr>
            <w:tcW w:w="1176"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Гкал/м2</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0,199</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0,199</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0,199</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0,199</w:t>
            </w:r>
          </w:p>
        </w:tc>
        <w:tc>
          <w:tcPr>
            <w:tcW w:w="88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0,199</w:t>
            </w:r>
          </w:p>
        </w:tc>
        <w:tc>
          <w:tcPr>
            <w:tcW w:w="993"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0,199</w:t>
            </w:r>
          </w:p>
        </w:tc>
        <w:tc>
          <w:tcPr>
            <w:tcW w:w="950"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0,198</w:t>
            </w:r>
          </w:p>
        </w:tc>
      </w:tr>
      <w:tr w:rsidR="00171D1D" w:rsidRPr="00592BA7" w:rsidTr="00592BA7">
        <w:trPr>
          <w:trHeight w:val="300"/>
        </w:trPr>
        <w:tc>
          <w:tcPr>
            <w:tcW w:w="611"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27.</w:t>
            </w:r>
          </w:p>
        </w:tc>
        <w:tc>
          <w:tcPr>
            <w:tcW w:w="7088"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Удельный расход электрической энергии в многоквартирных домах, расположенных на территории Шумерлинского муниципального округа </w:t>
            </w:r>
          </w:p>
        </w:tc>
        <w:tc>
          <w:tcPr>
            <w:tcW w:w="1176"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кВтч/м2</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35,633</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35,631</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35,624</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35,593</w:t>
            </w:r>
          </w:p>
        </w:tc>
        <w:tc>
          <w:tcPr>
            <w:tcW w:w="88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35,593</w:t>
            </w:r>
          </w:p>
        </w:tc>
        <w:tc>
          <w:tcPr>
            <w:tcW w:w="993"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35,593</w:t>
            </w:r>
          </w:p>
        </w:tc>
        <w:tc>
          <w:tcPr>
            <w:tcW w:w="950"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35,522</w:t>
            </w:r>
          </w:p>
        </w:tc>
      </w:tr>
      <w:tr w:rsidR="00171D1D" w:rsidRPr="00592BA7" w:rsidTr="00592BA7">
        <w:trPr>
          <w:trHeight w:val="270"/>
        </w:trPr>
        <w:tc>
          <w:tcPr>
            <w:tcW w:w="611"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28.</w:t>
            </w:r>
          </w:p>
        </w:tc>
        <w:tc>
          <w:tcPr>
            <w:tcW w:w="7088"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Удельный расход холодной воды в многоквартирных домах, расположенных на территории Шумерлинского муниципального округа </w:t>
            </w:r>
          </w:p>
        </w:tc>
        <w:tc>
          <w:tcPr>
            <w:tcW w:w="1176"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м3/чел.</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10,004</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10,004</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10,004</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10,004</w:t>
            </w:r>
          </w:p>
        </w:tc>
        <w:tc>
          <w:tcPr>
            <w:tcW w:w="88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10,004</w:t>
            </w:r>
          </w:p>
        </w:tc>
        <w:tc>
          <w:tcPr>
            <w:tcW w:w="993"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10,004</w:t>
            </w:r>
          </w:p>
        </w:tc>
        <w:tc>
          <w:tcPr>
            <w:tcW w:w="950"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10,004</w:t>
            </w:r>
          </w:p>
        </w:tc>
      </w:tr>
      <w:tr w:rsidR="00171D1D" w:rsidRPr="00592BA7" w:rsidTr="00592BA7">
        <w:trPr>
          <w:trHeight w:val="300"/>
        </w:trPr>
        <w:tc>
          <w:tcPr>
            <w:tcW w:w="611"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29.</w:t>
            </w:r>
          </w:p>
        </w:tc>
        <w:tc>
          <w:tcPr>
            <w:tcW w:w="7088"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Доля тепловой энергии, отпущенной в тепловые сети от источников тепловой энергии, функционирующих в режиме комбинированной выработки тепловой и электрической энергии, в общем объеме производства тепловой энергии в системах централизованного теплоснабжения на территории Шумерлинского муниципального округа </w:t>
            </w:r>
          </w:p>
        </w:tc>
        <w:tc>
          <w:tcPr>
            <w:tcW w:w="1176"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c>
          <w:tcPr>
            <w:tcW w:w="88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c>
          <w:tcPr>
            <w:tcW w:w="993"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c>
          <w:tcPr>
            <w:tcW w:w="950"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5</w:t>
            </w:r>
          </w:p>
        </w:tc>
      </w:tr>
      <w:tr w:rsidR="00171D1D" w:rsidRPr="00592BA7" w:rsidTr="00592BA7">
        <w:trPr>
          <w:trHeight w:val="300"/>
        </w:trPr>
        <w:tc>
          <w:tcPr>
            <w:tcW w:w="611"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30.</w:t>
            </w:r>
          </w:p>
        </w:tc>
        <w:tc>
          <w:tcPr>
            <w:tcW w:w="7088"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Удельный расход топлива на отпуск электрической энергии тепловыми электростанциями на территории Шумерлинского муниципального округа </w:t>
            </w:r>
          </w:p>
        </w:tc>
        <w:tc>
          <w:tcPr>
            <w:tcW w:w="1176"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т у.т./млн. кВтч</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c>
          <w:tcPr>
            <w:tcW w:w="88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c>
          <w:tcPr>
            <w:tcW w:w="993"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c>
          <w:tcPr>
            <w:tcW w:w="950"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320</w:t>
            </w:r>
          </w:p>
        </w:tc>
      </w:tr>
      <w:tr w:rsidR="00171D1D" w:rsidRPr="00592BA7" w:rsidTr="00592BA7">
        <w:trPr>
          <w:trHeight w:val="300"/>
        </w:trPr>
        <w:tc>
          <w:tcPr>
            <w:tcW w:w="611"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31.</w:t>
            </w:r>
          </w:p>
        </w:tc>
        <w:tc>
          <w:tcPr>
            <w:tcW w:w="7088"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Удельный расход топлива на отпущенную тепловую энергию с коллекторов тепловых электростанций на территории Шумерлинского муниципального округа </w:t>
            </w:r>
          </w:p>
        </w:tc>
        <w:tc>
          <w:tcPr>
            <w:tcW w:w="1176"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т у.т./тыс. Гкал</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c>
          <w:tcPr>
            <w:tcW w:w="88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c>
          <w:tcPr>
            <w:tcW w:w="993"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c>
          <w:tcPr>
            <w:tcW w:w="950"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120</w:t>
            </w:r>
          </w:p>
        </w:tc>
      </w:tr>
      <w:tr w:rsidR="00171D1D" w:rsidRPr="00592BA7" w:rsidTr="00592BA7">
        <w:trPr>
          <w:trHeight w:val="300"/>
        </w:trPr>
        <w:tc>
          <w:tcPr>
            <w:tcW w:w="611"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32.</w:t>
            </w:r>
          </w:p>
        </w:tc>
        <w:tc>
          <w:tcPr>
            <w:tcW w:w="7088"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Удельный расход топлива на отпущенную с коллекторов котельных в тепловую сеть тепловую энергию на территории Шумерлинского муниципального округа </w:t>
            </w:r>
          </w:p>
        </w:tc>
        <w:tc>
          <w:tcPr>
            <w:tcW w:w="1176"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т у.т./тыс. Гкал</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153,39</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153,29</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152,96</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151,64</w:t>
            </w:r>
          </w:p>
        </w:tc>
        <w:tc>
          <w:tcPr>
            <w:tcW w:w="88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151,64</w:t>
            </w:r>
          </w:p>
        </w:tc>
        <w:tc>
          <w:tcPr>
            <w:tcW w:w="993"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151,64</w:t>
            </w:r>
          </w:p>
        </w:tc>
        <w:tc>
          <w:tcPr>
            <w:tcW w:w="950"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150,34</w:t>
            </w:r>
          </w:p>
        </w:tc>
      </w:tr>
      <w:tr w:rsidR="00171D1D" w:rsidRPr="00592BA7" w:rsidTr="00592BA7">
        <w:trPr>
          <w:trHeight w:val="300"/>
        </w:trPr>
        <w:tc>
          <w:tcPr>
            <w:tcW w:w="611"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33.</w:t>
            </w:r>
          </w:p>
        </w:tc>
        <w:tc>
          <w:tcPr>
            <w:tcW w:w="7088"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Доля потерь электрической энергии при ее передаче по распределительным сетям в общем объеме переданной электрической энергии на территории Шумерлинского муниципального округа </w:t>
            </w:r>
          </w:p>
        </w:tc>
        <w:tc>
          <w:tcPr>
            <w:tcW w:w="1176"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4,52</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4,52</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4,51</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4,47</w:t>
            </w:r>
          </w:p>
        </w:tc>
        <w:tc>
          <w:tcPr>
            <w:tcW w:w="88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4,47</w:t>
            </w:r>
          </w:p>
        </w:tc>
        <w:tc>
          <w:tcPr>
            <w:tcW w:w="993"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4,47</w:t>
            </w:r>
          </w:p>
        </w:tc>
        <w:tc>
          <w:tcPr>
            <w:tcW w:w="950"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4,43</w:t>
            </w:r>
          </w:p>
        </w:tc>
      </w:tr>
      <w:tr w:rsidR="00171D1D" w:rsidRPr="00592BA7" w:rsidTr="00592BA7">
        <w:trPr>
          <w:trHeight w:val="300"/>
        </w:trPr>
        <w:tc>
          <w:tcPr>
            <w:tcW w:w="611"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34.</w:t>
            </w:r>
          </w:p>
        </w:tc>
        <w:tc>
          <w:tcPr>
            <w:tcW w:w="7088"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Доля потерь тепловой энергии при ее передаче в общем объеме переданной тепловой энергии на территории Шумерлинского муниципального округа </w:t>
            </w:r>
          </w:p>
        </w:tc>
        <w:tc>
          <w:tcPr>
            <w:tcW w:w="1176"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c>
          <w:tcPr>
            <w:tcW w:w="88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c>
          <w:tcPr>
            <w:tcW w:w="993"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c>
          <w:tcPr>
            <w:tcW w:w="950"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r>
      <w:tr w:rsidR="00171D1D" w:rsidRPr="00592BA7" w:rsidTr="00592BA7">
        <w:trPr>
          <w:trHeight w:val="300"/>
        </w:trPr>
        <w:tc>
          <w:tcPr>
            <w:tcW w:w="611"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35.</w:t>
            </w:r>
          </w:p>
        </w:tc>
        <w:tc>
          <w:tcPr>
            <w:tcW w:w="7088"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Доля потерь воды в централизованных системах водоснабжения при транспортировке в общем объеме воды, поданной в водопроводную сеть на территории Шумерлинского муниципального округа </w:t>
            </w:r>
          </w:p>
        </w:tc>
        <w:tc>
          <w:tcPr>
            <w:tcW w:w="1176"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c>
          <w:tcPr>
            <w:tcW w:w="88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c>
          <w:tcPr>
            <w:tcW w:w="993"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c>
          <w:tcPr>
            <w:tcW w:w="950"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r>
      <w:tr w:rsidR="00171D1D" w:rsidRPr="00592BA7" w:rsidTr="00592BA7">
        <w:trPr>
          <w:trHeight w:val="330"/>
        </w:trPr>
        <w:tc>
          <w:tcPr>
            <w:tcW w:w="611"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36.</w:t>
            </w:r>
          </w:p>
        </w:tc>
        <w:tc>
          <w:tcPr>
            <w:tcW w:w="7088"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Доля объема тепловой энергии, расчеты за которую осуществляются с использованием приборов учета, в общем объеме тепловой энергии, потребляемой (используемой) на территории Шумерлинского муниципального округа </w:t>
            </w:r>
          </w:p>
        </w:tc>
        <w:tc>
          <w:tcPr>
            <w:tcW w:w="1176"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28,1</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34,6</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41,1</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67,1</w:t>
            </w:r>
          </w:p>
        </w:tc>
        <w:tc>
          <w:tcPr>
            <w:tcW w:w="88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67,1</w:t>
            </w:r>
          </w:p>
        </w:tc>
        <w:tc>
          <w:tcPr>
            <w:tcW w:w="993"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67,1</w:t>
            </w:r>
          </w:p>
        </w:tc>
        <w:tc>
          <w:tcPr>
            <w:tcW w:w="950"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w:t>
            </w:r>
          </w:p>
        </w:tc>
      </w:tr>
      <w:tr w:rsidR="00171D1D" w:rsidRPr="00592BA7" w:rsidTr="00592BA7">
        <w:trPr>
          <w:trHeight w:val="300"/>
        </w:trPr>
        <w:tc>
          <w:tcPr>
            <w:tcW w:w="611"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37.</w:t>
            </w:r>
          </w:p>
        </w:tc>
        <w:tc>
          <w:tcPr>
            <w:tcW w:w="7088"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Доля объема электрической энергии, расчеты за которую осуществляются с использованием приборов учета, в общем объеме электрической энергии, потребляемой (используемой) на территории Шумерлинского муниципального округа </w:t>
            </w:r>
          </w:p>
        </w:tc>
        <w:tc>
          <w:tcPr>
            <w:tcW w:w="1176"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76,9</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79</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81,1</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89,5</w:t>
            </w:r>
          </w:p>
        </w:tc>
        <w:tc>
          <w:tcPr>
            <w:tcW w:w="88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89,5</w:t>
            </w:r>
          </w:p>
        </w:tc>
        <w:tc>
          <w:tcPr>
            <w:tcW w:w="993"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89,5</w:t>
            </w:r>
          </w:p>
        </w:tc>
        <w:tc>
          <w:tcPr>
            <w:tcW w:w="950"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w:t>
            </w:r>
          </w:p>
        </w:tc>
      </w:tr>
      <w:tr w:rsidR="00171D1D" w:rsidRPr="00592BA7" w:rsidTr="00592BA7">
        <w:trPr>
          <w:trHeight w:val="300"/>
        </w:trPr>
        <w:tc>
          <w:tcPr>
            <w:tcW w:w="611"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38.</w:t>
            </w:r>
          </w:p>
        </w:tc>
        <w:tc>
          <w:tcPr>
            <w:tcW w:w="7088"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Доля объема холодной воды, расчеты за которую осуществляются с использованием приборов учета, в общем объеме холодной воды, потребляемой (используемой) на территории Шумерлинского муниципального округа </w:t>
            </w:r>
          </w:p>
        </w:tc>
        <w:tc>
          <w:tcPr>
            <w:tcW w:w="1176"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79,6</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81,5</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83,4</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91</w:t>
            </w:r>
          </w:p>
        </w:tc>
        <w:tc>
          <w:tcPr>
            <w:tcW w:w="88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91</w:t>
            </w:r>
          </w:p>
        </w:tc>
        <w:tc>
          <w:tcPr>
            <w:tcW w:w="993"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91</w:t>
            </w:r>
          </w:p>
        </w:tc>
        <w:tc>
          <w:tcPr>
            <w:tcW w:w="950"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w:t>
            </w:r>
          </w:p>
        </w:tc>
      </w:tr>
      <w:tr w:rsidR="00171D1D" w:rsidRPr="00592BA7" w:rsidTr="00592BA7">
        <w:trPr>
          <w:trHeight w:val="194"/>
        </w:trPr>
        <w:tc>
          <w:tcPr>
            <w:tcW w:w="611"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39.</w:t>
            </w:r>
          </w:p>
        </w:tc>
        <w:tc>
          <w:tcPr>
            <w:tcW w:w="7088"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Доля объема природного газа, расчеты за который осуществляются с использованием приборов учета, в общем объеме природного газа, потребляемого (используемого) на территории Шумерлинского муниципального округа </w:t>
            </w:r>
          </w:p>
        </w:tc>
        <w:tc>
          <w:tcPr>
            <w:tcW w:w="1176"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w:t>
            </w:r>
          </w:p>
        </w:tc>
        <w:tc>
          <w:tcPr>
            <w:tcW w:w="88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w:t>
            </w:r>
          </w:p>
        </w:tc>
        <w:tc>
          <w:tcPr>
            <w:tcW w:w="993"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w:t>
            </w:r>
          </w:p>
        </w:tc>
        <w:tc>
          <w:tcPr>
            <w:tcW w:w="950"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w:t>
            </w:r>
          </w:p>
        </w:tc>
      </w:tr>
      <w:tr w:rsidR="00171D1D" w:rsidRPr="00592BA7" w:rsidTr="00592BA7">
        <w:trPr>
          <w:trHeight w:val="300"/>
        </w:trPr>
        <w:tc>
          <w:tcPr>
            <w:tcW w:w="611"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40.</w:t>
            </w:r>
          </w:p>
        </w:tc>
        <w:tc>
          <w:tcPr>
            <w:tcW w:w="7088"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Количество энергосервисных договоров (контрактов), заключенных муниципальными образованиями Шумерлинского муниципального округа </w:t>
            </w:r>
          </w:p>
        </w:tc>
        <w:tc>
          <w:tcPr>
            <w:tcW w:w="1176"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ед.</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w:t>
            </w:r>
          </w:p>
        </w:tc>
        <w:tc>
          <w:tcPr>
            <w:tcW w:w="88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w:t>
            </w:r>
          </w:p>
        </w:tc>
        <w:tc>
          <w:tcPr>
            <w:tcW w:w="993"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w:t>
            </w:r>
          </w:p>
        </w:tc>
        <w:tc>
          <w:tcPr>
            <w:tcW w:w="950"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w:t>
            </w:r>
          </w:p>
        </w:tc>
      </w:tr>
      <w:tr w:rsidR="00171D1D" w:rsidRPr="00592BA7" w:rsidTr="00592BA7">
        <w:trPr>
          <w:trHeight w:val="450"/>
        </w:trPr>
        <w:tc>
          <w:tcPr>
            <w:tcW w:w="611"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41.</w:t>
            </w:r>
          </w:p>
        </w:tc>
        <w:tc>
          <w:tcPr>
            <w:tcW w:w="7088"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Доля муниципальных заказчиков в общем объеме муниципальных заказчиков Шумерлинского муниципального округа с которыми заключены энергосервисные договора (контракты)</w:t>
            </w:r>
          </w:p>
        </w:tc>
        <w:tc>
          <w:tcPr>
            <w:tcW w:w="1176"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6,7</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13,3</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13,3</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w:t>
            </w:r>
          </w:p>
        </w:tc>
        <w:tc>
          <w:tcPr>
            <w:tcW w:w="88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w:t>
            </w:r>
          </w:p>
        </w:tc>
        <w:tc>
          <w:tcPr>
            <w:tcW w:w="993"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w:t>
            </w:r>
          </w:p>
        </w:tc>
        <w:tc>
          <w:tcPr>
            <w:tcW w:w="950"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w:t>
            </w:r>
          </w:p>
        </w:tc>
      </w:tr>
      <w:tr w:rsidR="00171D1D" w:rsidRPr="00592BA7" w:rsidTr="00592BA7">
        <w:trPr>
          <w:trHeight w:val="300"/>
        </w:trPr>
        <w:tc>
          <w:tcPr>
            <w:tcW w:w="611"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42.</w:t>
            </w:r>
          </w:p>
        </w:tc>
        <w:tc>
          <w:tcPr>
            <w:tcW w:w="7088"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Энергоемкость промышленного производства для производства 3 видов продукции, работ (услуг), составляющих основную долю потребления энергетических ресурсов на территории Шумерлинского муниципального округа в сфере промышленного производства (зерновые культуры)</w:t>
            </w:r>
          </w:p>
        </w:tc>
        <w:tc>
          <w:tcPr>
            <w:tcW w:w="1176"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кг у.т./ед. продукции</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0,01</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0,01</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0,01</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0,01</w:t>
            </w:r>
          </w:p>
        </w:tc>
        <w:tc>
          <w:tcPr>
            <w:tcW w:w="88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0,01</w:t>
            </w:r>
          </w:p>
        </w:tc>
        <w:tc>
          <w:tcPr>
            <w:tcW w:w="993"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0,01</w:t>
            </w:r>
          </w:p>
        </w:tc>
        <w:tc>
          <w:tcPr>
            <w:tcW w:w="950"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0,01</w:t>
            </w:r>
          </w:p>
        </w:tc>
      </w:tr>
      <w:tr w:rsidR="00171D1D" w:rsidRPr="00592BA7" w:rsidTr="00592BA7">
        <w:trPr>
          <w:trHeight w:val="300"/>
        </w:trPr>
        <w:tc>
          <w:tcPr>
            <w:tcW w:w="611"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43.</w:t>
            </w:r>
          </w:p>
        </w:tc>
        <w:tc>
          <w:tcPr>
            <w:tcW w:w="7088"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Энергоемкость промышленного производства для производства 3 видов продукции, работ (услуг), составляющих основную долю потребления энергетических ресурсов на территории Шумерлинского муниципального округа в сфере промышленного производства (хлебная продукция)</w:t>
            </w:r>
          </w:p>
        </w:tc>
        <w:tc>
          <w:tcPr>
            <w:tcW w:w="1176"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кг у.т./ед. продукции</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0,035</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0,035</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0,033</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0,033</w:t>
            </w:r>
          </w:p>
        </w:tc>
        <w:tc>
          <w:tcPr>
            <w:tcW w:w="88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0,033</w:t>
            </w:r>
          </w:p>
        </w:tc>
        <w:tc>
          <w:tcPr>
            <w:tcW w:w="993"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0,033</w:t>
            </w:r>
          </w:p>
        </w:tc>
        <w:tc>
          <w:tcPr>
            <w:tcW w:w="950"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0,033</w:t>
            </w:r>
          </w:p>
        </w:tc>
      </w:tr>
      <w:tr w:rsidR="00171D1D" w:rsidRPr="00592BA7" w:rsidTr="00592BA7">
        <w:trPr>
          <w:trHeight w:val="300"/>
        </w:trPr>
        <w:tc>
          <w:tcPr>
            <w:tcW w:w="611"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44.</w:t>
            </w:r>
          </w:p>
        </w:tc>
        <w:tc>
          <w:tcPr>
            <w:tcW w:w="7088"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Энергоемкость промышленного производства для производства 3 видов продукции, работ (услуг), составляющих основную долю потребления энергетических ресурсов на территории Шумерлинского муниципального округа в сфере промышленного производства (животноводство)</w:t>
            </w:r>
          </w:p>
        </w:tc>
        <w:tc>
          <w:tcPr>
            <w:tcW w:w="1176"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кг у.т./ед. продукции</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43,607</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43,607</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43,607</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41,863</w:t>
            </w:r>
          </w:p>
        </w:tc>
        <w:tc>
          <w:tcPr>
            <w:tcW w:w="88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41,863</w:t>
            </w:r>
          </w:p>
        </w:tc>
        <w:tc>
          <w:tcPr>
            <w:tcW w:w="993"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41,863</w:t>
            </w:r>
          </w:p>
        </w:tc>
        <w:tc>
          <w:tcPr>
            <w:tcW w:w="950"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41,863</w:t>
            </w:r>
          </w:p>
        </w:tc>
      </w:tr>
      <w:tr w:rsidR="00171D1D" w:rsidRPr="00592BA7" w:rsidTr="00592BA7">
        <w:trPr>
          <w:trHeight w:val="300"/>
        </w:trPr>
        <w:tc>
          <w:tcPr>
            <w:tcW w:w="611"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45.</w:t>
            </w:r>
          </w:p>
        </w:tc>
        <w:tc>
          <w:tcPr>
            <w:tcW w:w="7088"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Доля объема энергетических ресурсов (электрической энергии), производимых с использованием возобновляемых источников энергии и (или) вторичных энергетических ресурсов, в общем объеме энергетических ресурсов, производимых на территории Шумерлинского муниципального округа </w:t>
            </w:r>
          </w:p>
        </w:tc>
        <w:tc>
          <w:tcPr>
            <w:tcW w:w="1176"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c>
          <w:tcPr>
            <w:tcW w:w="88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c>
          <w:tcPr>
            <w:tcW w:w="993"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c>
          <w:tcPr>
            <w:tcW w:w="950"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w:t>
            </w:r>
          </w:p>
        </w:tc>
      </w:tr>
      <w:tr w:rsidR="00171D1D" w:rsidRPr="00592BA7" w:rsidTr="00592BA7">
        <w:trPr>
          <w:trHeight w:val="300"/>
        </w:trPr>
        <w:tc>
          <w:tcPr>
            <w:tcW w:w="611"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46.</w:t>
            </w:r>
          </w:p>
        </w:tc>
        <w:tc>
          <w:tcPr>
            <w:tcW w:w="7088"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Ввод мощностей генерирующих объектов, функционирующих на основе использования возобновляемых источников энергии, на территории Шумерлинского муниципального округа (без учета гидроэлектростанций установленной мощностью свыше 25 МВт)</w:t>
            </w:r>
          </w:p>
        </w:tc>
        <w:tc>
          <w:tcPr>
            <w:tcW w:w="1176"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МВт</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c>
          <w:tcPr>
            <w:tcW w:w="88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c>
          <w:tcPr>
            <w:tcW w:w="993"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c>
          <w:tcPr>
            <w:tcW w:w="950"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w:t>
            </w:r>
          </w:p>
        </w:tc>
      </w:tr>
      <w:tr w:rsidR="00171D1D" w:rsidRPr="00592BA7" w:rsidTr="00592BA7">
        <w:trPr>
          <w:trHeight w:val="300"/>
        </w:trPr>
        <w:tc>
          <w:tcPr>
            <w:tcW w:w="611"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47.</w:t>
            </w:r>
          </w:p>
        </w:tc>
        <w:tc>
          <w:tcPr>
            <w:tcW w:w="7088"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Доля энергоэффективных источников света в системах уличного освещения на территории Шумерлинского муниципального округа </w:t>
            </w:r>
          </w:p>
        </w:tc>
        <w:tc>
          <w:tcPr>
            <w:tcW w:w="1176"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99,2</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99,3</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99,4</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99,7</w:t>
            </w:r>
          </w:p>
        </w:tc>
        <w:tc>
          <w:tcPr>
            <w:tcW w:w="88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99,7</w:t>
            </w:r>
          </w:p>
        </w:tc>
        <w:tc>
          <w:tcPr>
            <w:tcW w:w="993"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99,7</w:t>
            </w:r>
          </w:p>
        </w:tc>
        <w:tc>
          <w:tcPr>
            <w:tcW w:w="950"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w:t>
            </w:r>
          </w:p>
        </w:tc>
      </w:tr>
      <w:tr w:rsidR="00171D1D" w:rsidRPr="00592BA7" w:rsidTr="00592BA7">
        <w:trPr>
          <w:trHeight w:val="300"/>
        </w:trPr>
        <w:tc>
          <w:tcPr>
            <w:tcW w:w="611"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48.</w:t>
            </w:r>
          </w:p>
        </w:tc>
        <w:tc>
          <w:tcPr>
            <w:tcW w:w="7088"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Количество транспортных средств, относящихся к общественному транспорту, регулирование тарифов на услуги по перевозке на котором осуществляется в Шумерлинском муниципальном округе, в отношении которых проведены мероприятия по энергосбережению и повышению энергетической эффективности, в том числе по замещению бензина и дизельного топлива, используемых транспортными средствами в качестве моторного топлива, природным газом, газовыми смесями, сжиженным углеводородным газом, используемыми в качестве моторного топлива, и электрической энергией</w:t>
            </w:r>
          </w:p>
        </w:tc>
        <w:tc>
          <w:tcPr>
            <w:tcW w:w="1176"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ед.</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c>
          <w:tcPr>
            <w:tcW w:w="88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c>
          <w:tcPr>
            <w:tcW w:w="993"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c>
          <w:tcPr>
            <w:tcW w:w="950"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r>
      <w:tr w:rsidR="00171D1D" w:rsidRPr="00592BA7" w:rsidTr="00592BA7">
        <w:trPr>
          <w:trHeight w:val="300"/>
        </w:trPr>
        <w:tc>
          <w:tcPr>
            <w:tcW w:w="611"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49.</w:t>
            </w:r>
          </w:p>
        </w:tc>
        <w:tc>
          <w:tcPr>
            <w:tcW w:w="7088"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Количество транспортных средств с автономным источником электрического питания, относящихся к общественному транспорту, регулирование тарифов на услуги по перевозке на котором осуществляется в Шумерлинском муниципальном округе </w:t>
            </w:r>
          </w:p>
        </w:tc>
        <w:tc>
          <w:tcPr>
            <w:tcW w:w="1176"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ед.</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c>
          <w:tcPr>
            <w:tcW w:w="88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c>
          <w:tcPr>
            <w:tcW w:w="993"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c>
          <w:tcPr>
            <w:tcW w:w="950"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w:t>
            </w:r>
          </w:p>
        </w:tc>
      </w:tr>
      <w:tr w:rsidR="00171D1D" w:rsidRPr="00592BA7" w:rsidTr="00592BA7">
        <w:trPr>
          <w:trHeight w:val="300"/>
        </w:trPr>
        <w:tc>
          <w:tcPr>
            <w:tcW w:w="611"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50.</w:t>
            </w:r>
          </w:p>
        </w:tc>
        <w:tc>
          <w:tcPr>
            <w:tcW w:w="7088"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Количество транспортных средств, используемых органами муниципальной власти, государственными учреждениями и государственными унитарными предприятиями Шумерлинского муниципального округа, в отношении которых проведены мероприятия по энергосбережению и повышению энергетической эффективности, в том числе по замещению бензина и дизельного топлива, используемых транспортными средствами в качестве моторного топлива, природным газом, газовыми смесями и сжиженным углеводородным газом, используемыми в качестве моторного топлива</w:t>
            </w:r>
          </w:p>
        </w:tc>
        <w:tc>
          <w:tcPr>
            <w:tcW w:w="1176"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ед.</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5</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8</w:t>
            </w:r>
          </w:p>
        </w:tc>
        <w:tc>
          <w:tcPr>
            <w:tcW w:w="88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8</w:t>
            </w:r>
          </w:p>
        </w:tc>
        <w:tc>
          <w:tcPr>
            <w:tcW w:w="993"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8</w:t>
            </w:r>
          </w:p>
        </w:tc>
        <w:tc>
          <w:tcPr>
            <w:tcW w:w="950"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w:t>
            </w:r>
          </w:p>
        </w:tc>
      </w:tr>
      <w:tr w:rsidR="00171D1D" w:rsidRPr="00592BA7" w:rsidTr="00592BA7">
        <w:trPr>
          <w:trHeight w:val="300"/>
        </w:trPr>
        <w:tc>
          <w:tcPr>
            <w:tcW w:w="611"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51.</w:t>
            </w:r>
          </w:p>
        </w:tc>
        <w:tc>
          <w:tcPr>
            <w:tcW w:w="7088"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Количество транспортных средств с автономным источником электрического питания, используемых органами муниципальной власти, государственными учреждениями и государственными унитарными предприятиями Шумерлинского муниципального округа </w:t>
            </w:r>
          </w:p>
        </w:tc>
        <w:tc>
          <w:tcPr>
            <w:tcW w:w="1176"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ед.</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c>
          <w:tcPr>
            <w:tcW w:w="88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c>
          <w:tcPr>
            <w:tcW w:w="993"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c>
          <w:tcPr>
            <w:tcW w:w="950"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w:t>
            </w:r>
          </w:p>
        </w:tc>
      </w:tr>
      <w:tr w:rsidR="00171D1D" w:rsidRPr="00592BA7" w:rsidTr="00592BA7">
        <w:trPr>
          <w:trHeight w:val="300"/>
        </w:trPr>
        <w:tc>
          <w:tcPr>
            <w:tcW w:w="611"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52.</w:t>
            </w:r>
          </w:p>
        </w:tc>
        <w:tc>
          <w:tcPr>
            <w:tcW w:w="7088"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Количество электромобилей легковых с автономным источником электрического питания, зарегистрированных на территории Шумерлинского муниципального округа </w:t>
            </w:r>
          </w:p>
        </w:tc>
        <w:tc>
          <w:tcPr>
            <w:tcW w:w="1176"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ед.</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w:t>
            </w:r>
          </w:p>
        </w:tc>
        <w:tc>
          <w:tcPr>
            <w:tcW w:w="88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w:t>
            </w:r>
          </w:p>
        </w:tc>
        <w:tc>
          <w:tcPr>
            <w:tcW w:w="993"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w:t>
            </w:r>
          </w:p>
        </w:tc>
        <w:tc>
          <w:tcPr>
            <w:tcW w:w="950"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w:t>
            </w:r>
          </w:p>
        </w:tc>
      </w:tr>
    </w:tbl>
    <w:p w:rsidR="00171D1D" w:rsidRPr="00592BA7" w:rsidRDefault="00171D1D" w:rsidP="00592BA7">
      <w:pPr>
        <w:jc w:val="both"/>
        <w:rPr>
          <w:rFonts w:ascii="Times New Roman" w:hAnsi="Times New Roman" w:cs="Times New Roman"/>
          <w:sz w:val="20"/>
          <w:szCs w:val="20"/>
        </w:rPr>
      </w:pPr>
    </w:p>
    <w:p w:rsidR="00171D1D" w:rsidRPr="00592BA7" w:rsidRDefault="00171D1D" w:rsidP="00592BA7">
      <w:pPr>
        <w:jc w:val="both"/>
        <w:rPr>
          <w:rFonts w:ascii="Times New Roman" w:hAnsi="Times New Roman" w:cs="Times New Roman"/>
          <w:sz w:val="20"/>
          <w:szCs w:val="20"/>
        </w:rPr>
        <w:sectPr w:rsidR="00171D1D" w:rsidRPr="00592BA7" w:rsidSect="00592BA7">
          <w:pgSz w:w="16838" w:h="11906" w:orient="landscape"/>
          <w:pgMar w:top="1418" w:right="1134" w:bottom="851" w:left="1134" w:header="709" w:footer="459" w:gutter="0"/>
          <w:cols w:space="708"/>
          <w:titlePg/>
          <w:docGrid w:linePitch="360"/>
        </w:sectPr>
      </w:pP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Раздел 6 Перспективная схема электроснабжения муниципального образования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Перспективная схема электроснабжения отсутствует.</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В инвестиционных программах сбытовых организаций отсутствует информация о мероприятиях реализуемых за счет инвестиционной надбавки к тарифу на территории муниципального округа.</w:t>
      </w:r>
    </w:p>
    <w:p w:rsidR="00171D1D" w:rsidRPr="00592BA7" w:rsidRDefault="00171D1D" w:rsidP="00592BA7">
      <w:pPr>
        <w:jc w:val="both"/>
        <w:rPr>
          <w:rFonts w:ascii="Times New Roman" w:hAnsi="Times New Roman" w:cs="Times New Roman"/>
          <w:sz w:val="20"/>
          <w:szCs w:val="20"/>
        </w:rPr>
      </w:pP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Раздел 7 Перспективная схема теплоснабжения муниципального образования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Схема теплоснабжения Шумерлинского муниципального округа разработана.</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В инвестиционных программах сбытовых организаций отсутствует информация о мероприятиях реализуемых за счет инвестиционной надбавки к тарифу на территории муниципального округа.</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Перечень мероприятий и проектов в сфере теплоснабжения, обеспечивающих увеличение покрытия теплоснабжения по годам реализации Программы для решения поставленных задач и обеспечения целевых показателей развития коммунальной инфраструктуры приведён в Разделе 12.</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Мероприятия в целом отражают положения проекта схемы теплоснабжения и направлены, в основном, на повышение уровня охвата населения качественной услугой централизованного теплоснабжения. Основные показатели работы системы теплоснабжения с учётом внедрения мероприятий приведены в Разделе 5.</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Финансовые потребности для реализации мероприятий с распределением по источникам финансирования приведены в Разделе 13.</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Стоимость и период реализации мероприятий, необходимых для развития системы теплоснабжения с целью расширения перспективных потребителей, приняты прогнозно, для принятия более точных значений требуется разработка пакета документации, в том числе проектной и сметной.</w:t>
      </w:r>
    </w:p>
    <w:p w:rsidR="00171D1D" w:rsidRPr="00592BA7" w:rsidRDefault="00171D1D" w:rsidP="00592BA7">
      <w:pPr>
        <w:jc w:val="both"/>
        <w:rPr>
          <w:rFonts w:ascii="Times New Roman" w:hAnsi="Times New Roman" w:cs="Times New Roman"/>
          <w:sz w:val="20"/>
          <w:szCs w:val="20"/>
          <w:highlight w:val="yellow"/>
        </w:rPr>
      </w:pP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Раздел 8 Перспективная схема газоснабжения муниципального образования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Схема газоснабжения Шумерлинского муниципального округа отсутствует.</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В инвестиционных программах сбытовых организаций отсутствует информация о мероприятиях реализуемых за счет инвестиционной надбавки к тарифу на территории муниципального округа.</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Перечень мероприятий и проектов в сфере газоснабжения, обеспечивающих увеличение системой газоснабжения по годам реализации Программы для решения поставленных задач и обеспечения целевых показателей развития коммунальной инфраструктуры приведён в Разделе 12.</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Мероприятия в целом отражают положения Схемы территориального планирования Чувашской Республики, утвержденной Кабинетом министров Чувашской Республики от 25.12.2017 №522 (с изм. на 1 декабря 2021 года) и направлены, в основном, на повышение уровня охвата населения централизованным газоснабжением. Основные показатели работы системы теплоснабжения с учётом внедрения мероприятий приведены в Разделе 5.</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Финансовые потребности для реализации мероприятий с распределением по источникам финансирования приведены в Разделе 13.</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Стоимость и период реализации мероприятий, необходимых для развития системы теплоснабжения с целью расширения перспективных потребителей, приняты прогнозно, для принятия более точных значений требуется разработка пакета документации, в том числе проектной и сметной.</w:t>
      </w:r>
    </w:p>
    <w:p w:rsidR="00171D1D" w:rsidRPr="00592BA7" w:rsidRDefault="00171D1D" w:rsidP="00592BA7">
      <w:pPr>
        <w:jc w:val="both"/>
        <w:rPr>
          <w:rFonts w:ascii="Times New Roman" w:hAnsi="Times New Roman" w:cs="Times New Roman"/>
          <w:sz w:val="20"/>
          <w:szCs w:val="20"/>
          <w:highlight w:val="yellow"/>
        </w:rPr>
      </w:pPr>
    </w:p>
    <w:p w:rsidR="00171D1D" w:rsidRPr="00592BA7" w:rsidRDefault="00171D1D" w:rsidP="00592BA7">
      <w:pPr>
        <w:jc w:val="both"/>
        <w:rPr>
          <w:rFonts w:ascii="Times New Roman" w:hAnsi="Times New Roman" w:cs="Times New Roman"/>
          <w:sz w:val="20"/>
          <w:szCs w:val="20"/>
          <w:highlight w:val="yellow"/>
        </w:rPr>
      </w:pPr>
      <w:r w:rsidRPr="00592BA7">
        <w:rPr>
          <w:rFonts w:ascii="Times New Roman" w:hAnsi="Times New Roman" w:cs="Times New Roman"/>
          <w:sz w:val="20"/>
          <w:szCs w:val="20"/>
          <w:highlight w:val="yellow"/>
        </w:rPr>
        <w:lastRenderedPageBreak/>
        <w:br w:type="page"/>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Раздел 9 Перспективная схема водоснабжения муниципального образования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Схема водоснабжения Шумерлинского муниципального округа разработана и утверждена Постановлением Администрации Шумерлинского муниципального округа от 29.03.2023 №214.</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В инвестиционных программах сбытовых организаций отсутствует информация о мероприятиях реализуемых за счет инвестиционной надбавки к тарифу на территории муниципального округа.</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Перечень мероприятий и проектов в сфере водоснабжения, обеспечивающих надежное водоснабжение по годам реализации Программы для решения поставленных задач и обеспечения целевых показателей развития коммунальной инфраструктуры приведён в Разделе 12.</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Мероприятия в целом отражают положения проекта схемы водоснабжения и направлены, в основном, на снижения сетевых потерь, экономию ресурсов и повышения уровня охвата населения качественной услугой централизованного водоснабжения. Основные показатели работы системы водоснабжения с учётом внедрения мероприятий приведены в Разделе 5.</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Финансовые потребности для реализации мероприятий с распределением по источникам финансирования приведены в Разделе 13.</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Стоимость и период реализации мероприятий, необходимых для развития системы водоснабжения с целью расширения перспективных потребителей, приняты прогнозно, для принятия более точных значений требуется разработка пакета документации, в том числе проектной и сметной.</w:t>
      </w:r>
    </w:p>
    <w:p w:rsidR="00171D1D" w:rsidRPr="00592BA7" w:rsidRDefault="00171D1D" w:rsidP="00592BA7">
      <w:pPr>
        <w:jc w:val="both"/>
        <w:rPr>
          <w:rFonts w:ascii="Times New Roman" w:hAnsi="Times New Roman" w:cs="Times New Roman"/>
          <w:sz w:val="20"/>
          <w:szCs w:val="20"/>
          <w:highlight w:val="yellow"/>
        </w:rPr>
      </w:pP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Раздел 10 Перспективная схема водоотведения муниципального образования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Схема водоотведения Шумерлинского муниципального округа разработана и утверждена Постановлением Администрации Шумерлинского муниципального округа от 29.03.2023 №214.</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В инвестиционных программах сбытовых организаций отсутствует информация о мероприятиях реализуемых за счет инвестиционной надбавки к тарифу на территории муниципального округа.</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Перечень мероприятий и проектов в сфере водоотведения обеспечивающих надежное водоотведение по годам реализации Программы для решения поставленных задач и обеспечения целевых показателей развития коммунальной инфраструктуры приведён в Разделе 12.</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Мероприятия в целом отражают положения проекта схемы водоснабжения и Схемы территориального планирования Чувашской Республики, и направлены, в основном, на улучшение экологической обстановки, экономию ресурсов и повышения уровня охвата населения качественной услугой централизованного водоотведения. Основные показатели работы системы водоотведения с учётом внедрения мероприятий приведены в Разделе 5.</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Финансовые потребности для реализации мероприятий с распределением по источникам финансирования приведены в Разделе 13.</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Стоимость и период реализации мероприятий, необходимых для развития системы водоотведения с целью расширения перспективных потребителей, приняты прогнозно, для принятия более точных значений требуется разработка пакета документации, в том числе проектной и сметной.</w:t>
      </w:r>
    </w:p>
    <w:p w:rsidR="00171D1D" w:rsidRPr="00592BA7" w:rsidRDefault="00171D1D" w:rsidP="00592BA7">
      <w:pPr>
        <w:jc w:val="both"/>
        <w:rPr>
          <w:rFonts w:ascii="Times New Roman" w:hAnsi="Times New Roman" w:cs="Times New Roman"/>
          <w:sz w:val="20"/>
          <w:szCs w:val="20"/>
          <w:highlight w:val="yellow"/>
        </w:rPr>
      </w:pP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Раздел 11 Перспективная схема обращения с твердыми коммунальными отходами муниципального образования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Генеральная схема санитарной очистки территории Шумерлинского муниципального округа отсутствует.</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В инвестиционных программах сбытовых организаций отсутствует информация о мероприятиях реализуемых за счет инвестиционной надбавки к тарифу на территории муниципального округа.</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Перечень мероприятий и проектов в сфере обращения с ТКО по годам реализации Программы для решения поставленных задач и обеспечения целевых показателей развития коммунальной инфраструктуры приведён в Разделе 12.</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Мероприятия в целом отражают положения Схемы территориального планирования Чувашской Республики, утвержденной Кабинетом министров Чувашской Республики от 25.12.2017 №522 (с изм. на 1 декабря 2021 года) и направлены на улучшение экологической обстановки. Основные показатели работы схемы обращения с ТКО с учётом внедрения мероприятий приведены в Разделе 5.</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Финансовые потребности для реализации мероприятий с распределением по источникам финансирования приведены в Разделе 13.</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Стоимость и период реализации мероприятий, необходимых для развития системы водоотведения с целью расширения перспективных потребителей, приняты прогнозно, для принятия более точных значений требуется разработка пакета документации, в том числе проектной и сметной.</w:t>
      </w:r>
    </w:p>
    <w:p w:rsidR="00171D1D" w:rsidRPr="00592BA7" w:rsidRDefault="00171D1D" w:rsidP="00592BA7">
      <w:pPr>
        <w:jc w:val="both"/>
        <w:rPr>
          <w:rFonts w:ascii="Times New Roman" w:hAnsi="Times New Roman" w:cs="Times New Roman"/>
          <w:sz w:val="20"/>
          <w:szCs w:val="20"/>
        </w:rPr>
      </w:pPr>
    </w:p>
    <w:p w:rsidR="00171D1D" w:rsidRPr="00592BA7" w:rsidRDefault="00171D1D" w:rsidP="00592BA7">
      <w:pPr>
        <w:jc w:val="both"/>
        <w:rPr>
          <w:rFonts w:ascii="Times New Roman" w:hAnsi="Times New Roman" w:cs="Times New Roman"/>
          <w:sz w:val="20"/>
          <w:szCs w:val="20"/>
        </w:rPr>
      </w:pP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br w:type="page"/>
      </w:r>
    </w:p>
    <w:p w:rsidR="00171D1D" w:rsidRPr="00592BA7" w:rsidRDefault="00171D1D" w:rsidP="00592BA7">
      <w:pPr>
        <w:jc w:val="both"/>
        <w:rPr>
          <w:rFonts w:ascii="Times New Roman" w:hAnsi="Times New Roman" w:cs="Times New Roman"/>
          <w:sz w:val="20"/>
          <w:szCs w:val="20"/>
        </w:rPr>
        <w:sectPr w:rsidR="00171D1D" w:rsidRPr="00592BA7" w:rsidSect="00592BA7">
          <w:pgSz w:w="11906" w:h="16838"/>
          <w:pgMar w:top="1134" w:right="851" w:bottom="1134" w:left="1418" w:header="709" w:footer="459" w:gutter="0"/>
          <w:cols w:space="708"/>
          <w:titlePg/>
          <w:docGrid w:linePitch="360"/>
        </w:sectPr>
      </w:pP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Раздел 12 Общая программа проектов</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Таблица 12.1</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Общая инвестиционных программа проектов</w:t>
      </w:r>
    </w:p>
    <w:tbl>
      <w:tblPr>
        <w:tblW w:w="1533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6"/>
        <w:gridCol w:w="3488"/>
        <w:gridCol w:w="2399"/>
        <w:gridCol w:w="2129"/>
        <w:gridCol w:w="2276"/>
        <w:gridCol w:w="1701"/>
        <w:gridCol w:w="83"/>
        <w:gridCol w:w="905"/>
        <w:gridCol w:w="1416"/>
      </w:tblGrid>
      <w:tr w:rsidR="00171D1D" w:rsidRPr="00592BA7" w:rsidTr="00592BA7">
        <w:trPr>
          <w:trHeight w:val="20"/>
          <w:tblHeader/>
        </w:trPr>
        <w:tc>
          <w:tcPr>
            <w:tcW w:w="936" w:type="dxa"/>
            <w:vMerge w:val="restart"/>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 </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п/п</w:t>
            </w:r>
          </w:p>
        </w:tc>
        <w:tc>
          <w:tcPr>
            <w:tcW w:w="3488" w:type="dxa"/>
            <w:vMerge w:val="restart"/>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Наименование и краткое описание мероприятия (объекта)</w:t>
            </w:r>
          </w:p>
        </w:tc>
        <w:tc>
          <w:tcPr>
            <w:tcW w:w="2399" w:type="dxa"/>
            <w:vMerge w:val="restart"/>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Обоснование необходимости мероприятия (объекта)</w:t>
            </w:r>
          </w:p>
        </w:tc>
        <w:tc>
          <w:tcPr>
            <w:tcW w:w="2129" w:type="dxa"/>
            <w:vMerge w:val="restart"/>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Описание и место расположения мероприятия (объекта) с указанием точки подключения</w:t>
            </w:r>
          </w:p>
        </w:tc>
        <w:tc>
          <w:tcPr>
            <w:tcW w:w="2276" w:type="dxa"/>
            <w:vMerge w:val="restart"/>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Технические характеристики (протяженность, диаметр, мощность и тд)</w:t>
            </w:r>
          </w:p>
        </w:tc>
        <w:tc>
          <w:tcPr>
            <w:tcW w:w="1784" w:type="dxa"/>
            <w:gridSpan w:val="2"/>
            <w:vMerge w:val="restart"/>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Значение показателя</w:t>
            </w:r>
          </w:p>
        </w:tc>
        <w:tc>
          <w:tcPr>
            <w:tcW w:w="2321" w:type="dxa"/>
            <w:gridSpan w:val="2"/>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График реализации мероприятия (объекта)</w:t>
            </w:r>
          </w:p>
        </w:tc>
      </w:tr>
      <w:tr w:rsidR="00171D1D" w:rsidRPr="00592BA7" w:rsidTr="00592BA7">
        <w:trPr>
          <w:trHeight w:val="517"/>
          <w:tblHeader/>
        </w:trPr>
        <w:tc>
          <w:tcPr>
            <w:tcW w:w="936" w:type="dxa"/>
            <w:vMerge/>
            <w:vAlign w:val="center"/>
            <w:hideMark/>
          </w:tcPr>
          <w:p w:rsidR="00171D1D" w:rsidRPr="00592BA7" w:rsidRDefault="00171D1D" w:rsidP="00592BA7">
            <w:pPr>
              <w:jc w:val="both"/>
              <w:rPr>
                <w:rFonts w:ascii="Times New Roman" w:hAnsi="Times New Roman" w:cs="Times New Roman"/>
                <w:sz w:val="20"/>
                <w:szCs w:val="20"/>
              </w:rPr>
            </w:pPr>
          </w:p>
        </w:tc>
        <w:tc>
          <w:tcPr>
            <w:tcW w:w="3488" w:type="dxa"/>
            <w:vMerge/>
            <w:vAlign w:val="center"/>
            <w:hideMark/>
          </w:tcPr>
          <w:p w:rsidR="00171D1D" w:rsidRPr="00592BA7" w:rsidRDefault="00171D1D" w:rsidP="00592BA7">
            <w:pPr>
              <w:jc w:val="both"/>
              <w:rPr>
                <w:rFonts w:ascii="Times New Roman" w:hAnsi="Times New Roman" w:cs="Times New Roman"/>
                <w:sz w:val="20"/>
                <w:szCs w:val="20"/>
              </w:rPr>
            </w:pPr>
          </w:p>
        </w:tc>
        <w:tc>
          <w:tcPr>
            <w:tcW w:w="2399" w:type="dxa"/>
            <w:vMerge/>
            <w:vAlign w:val="center"/>
            <w:hideMark/>
          </w:tcPr>
          <w:p w:rsidR="00171D1D" w:rsidRPr="00592BA7" w:rsidRDefault="00171D1D" w:rsidP="00592BA7">
            <w:pPr>
              <w:jc w:val="both"/>
              <w:rPr>
                <w:rFonts w:ascii="Times New Roman" w:hAnsi="Times New Roman" w:cs="Times New Roman"/>
                <w:sz w:val="20"/>
                <w:szCs w:val="20"/>
              </w:rPr>
            </w:pPr>
          </w:p>
        </w:tc>
        <w:tc>
          <w:tcPr>
            <w:tcW w:w="2129" w:type="dxa"/>
            <w:vMerge/>
            <w:vAlign w:val="center"/>
            <w:hideMark/>
          </w:tcPr>
          <w:p w:rsidR="00171D1D" w:rsidRPr="00592BA7" w:rsidRDefault="00171D1D" w:rsidP="00592BA7">
            <w:pPr>
              <w:jc w:val="both"/>
              <w:rPr>
                <w:rFonts w:ascii="Times New Roman" w:hAnsi="Times New Roman" w:cs="Times New Roman"/>
                <w:sz w:val="20"/>
                <w:szCs w:val="20"/>
              </w:rPr>
            </w:pPr>
          </w:p>
        </w:tc>
        <w:tc>
          <w:tcPr>
            <w:tcW w:w="2276" w:type="dxa"/>
            <w:vMerge/>
            <w:vAlign w:val="center"/>
            <w:hideMark/>
          </w:tcPr>
          <w:p w:rsidR="00171D1D" w:rsidRPr="00592BA7" w:rsidRDefault="00171D1D" w:rsidP="00592BA7">
            <w:pPr>
              <w:jc w:val="both"/>
              <w:rPr>
                <w:rFonts w:ascii="Times New Roman" w:hAnsi="Times New Roman" w:cs="Times New Roman"/>
                <w:sz w:val="20"/>
                <w:szCs w:val="20"/>
              </w:rPr>
            </w:pPr>
          </w:p>
        </w:tc>
        <w:tc>
          <w:tcPr>
            <w:tcW w:w="1784" w:type="dxa"/>
            <w:gridSpan w:val="2"/>
            <w:vMerge/>
            <w:vAlign w:val="center"/>
            <w:hideMark/>
          </w:tcPr>
          <w:p w:rsidR="00171D1D" w:rsidRPr="00592BA7" w:rsidRDefault="00171D1D" w:rsidP="00592BA7">
            <w:pPr>
              <w:jc w:val="both"/>
              <w:rPr>
                <w:rFonts w:ascii="Times New Roman" w:hAnsi="Times New Roman" w:cs="Times New Roman"/>
                <w:sz w:val="20"/>
                <w:szCs w:val="20"/>
              </w:rPr>
            </w:pPr>
          </w:p>
        </w:tc>
        <w:tc>
          <w:tcPr>
            <w:tcW w:w="905" w:type="dxa"/>
            <w:vMerge w:val="restart"/>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Год начала </w:t>
            </w:r>
          </w:p>
        </w:tc>
        <w:tc>
          <w:tcPr>
            <w:tcW w:w="1416" w:type="dxa"/>
            <w:vMerge w:val="restart"/>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Год завершения</w:t>
            </w:r>
          </w:p>
        </w:tc>
      </w:tr>
      <w:tr w:rsidR="00171D1D" w:rsidRPr="00592BA7" w:rsidTr="00592BA7">
        <w:trPr>
          <w:trHeight w:val="517"/>
          <w:tblHeader/>
        </w:trPr>
        <w:tc>
          <w:tcPr>
            <w:tcW w:w="936" w:type="dxa"/>
            <w:vMerge/>
            <w:vAlign w:val="center"/>
            <w:hideMark/>
          </w:tcPr>
          <w:p w:rsidR="00171D1D" w:rsidRPr="00592BA7" w:rsidRDefault="00171D1D" w:rsidP="00592BA7">
            <w:pPr>
              <w:jc w:val="both"/>
              <w:rPr>
                <w:rFonts w:ascii="Times New Roman" w:hAnsi="Times New Roman" w:cs="Times New Roman"/>
                <w:sz w:val="20"/>
                <w:szCs w:val="20"/>
              </w:rPr>
            </w:pPr>
          </w:p>
        </w:tc>
        <w:tc>
          <w:tcPr>
            <w:tcW w:w="3488" w:type="dxa"/>
            <w:vMerge/>
            <w:vAlign w:val="center"/>
            <w:hideMark/>
          </w:tcPr>
          <w:p w:rsidR="00171D1D" w:rsidRPr="00592BA7" w:rsidRDefault="00171D1D" w:rsidP="00592BA7">
            <w:pPr>
              <w:jc w:val="both"/>
              <w:rPr>
                <w:rFonts w:ascii="Times New Roman" w:hAnsi="Times New Roman" w:cs="Times New Roman"/>
                <w:sz w:val="20"/>
                <w:szCs w:val="20"/>
              </w:rPr>
            </w:pPr>
          </w:p>
        </w:tc>
        <w:tc>
          <w:tcPr>
            <w:tcW w:w="2399" w:type="dxa"/>
            <w:vMerge/>
            <w:vAlign w:val="center"/>
            <w:hideMark/>
          </w:tcPr>
          <w:p w:rsidR="00171D1D" w:rsidRPr="00592BA7" w:rsidRDefault="00171D1D" w:rsidP="00592BA7">
            <w:pPr>
              <w:jc w:val="both"/>
              <w:rPr>
                <w:rFonts w:ascii="Times New Roman" w:hAnsi="Times New Roman" w:cs="Times New Roman"/>
                <w:sz w:val="20"/>
                <w:szCs w:val="20"/>
              </w:rPr>
            </w:pPr>
          </w:p>
        </w:tc>
        <w:tc>
          <w:tcPr>
            <w:tcW w:w="2129" w:type="dxa"/>
            <w:vMerge/>
            <w:vAlign w:val="center"/>
            <w:hideMark/>
          </w:tcPr>
          <w:p w:rsidR="00171D1D" w:rsidRPr="00592BA7" w:rsidRDefault="00171D1D" w:rsidP="00592BA7">
            <w:pPr>
              <w:jc w:val="both"/>
              <w:rPr>
                <w:rFonts w:ascii="Times New Roman" w:hAnsi="Times New Roman" w:cs="Times New Roman"/>
                <w:sz w:val="20"/>
                <w:szCs w:val="20"/>
              </w:rPr>
            </w:pPr>
          </w:p>
        </w:tc>
        <w:tc>
          <w:tcPr>
            <w:tcW w:w="2276" w:type="dxa"/>
            <w:vMerge/>
            <w:vAlign w:val="center"/>
            <w:hideMark/>
          </w:tcPr>
          <w:p w:rsidR="00171D1D" w:rsidRPr="00592BA7" w:rsidRDefault="00171D1D" w:rsidP="00592BA7">
            <w:pPr>
              <w:jc w:val="both"/>
              <w:rPr>
                <w:rFonts w:ascii="Times New Roman" w:hAnsi="Times New Roman" w:cs="Times New Roman"/>
                <w:sz w:val="20"/>
                <w:szCs w:val="20"/>
              </w:rPr>
            </w:pPr>
          </w:p>
        </w:tc>
        <w:tc>
          <w:tcPr>
            <w:tcW w:w="1784" w:type="dxa"/>
            <w:gridSpan w:val="2"/>
            <w:vMerge/>
            <w:vAlign w:val="center"/>
            <w:hideMark/>
          </w:tcPr>
          <w:p w:rsidR="00171D1D" w:rsidRPr="00592BA7" w:rsidRDefault="00171D1D" w:rsidP="00592BA7">
            <w:pPr>
              <w:jc w:val="both"/>
              <w:rPr>
                <w:rFonts w:ascii="Times New Roman" w:hAnsi="Times New Roman" w:cs="Times New Roman"/>
                <w:sz w:val="20"/>
                <w:szCs w:val="20"/>
              </w:rPr>
            </w:pPr>
          </w:p>
        </w:tc>
        <w:tc>
          <w:tcPr>
            <w:tcW w:w="905" w:type="dxa"/>
            <w:vMerge/>
            <w:vAlign w:val="center"/>
            <w:hideMark/>
          </w:tcPr>
          <w:p w:rsidR="00171D1D" w:rsidRPr="00592BA7" w:rsidRDefault="00171D1D" w:rsidP="00592BA7">
            <w:pPr>
              <w:jc w:val="both"/>
              <w:rPr>
                <w:rFonts w:ascii="Times New Roman" w:hAnsi="Times New Roman" w:cs="Times New Roman"/>
                <w:sz w:val="20"/>
                <w:szCs w:val="20"/>
              </w:rPr>
            </w:pPr>
          </w:p>
        </w:tc>
        <w:tc>
          <w:tcPr>
            <w:tcW w:w="1416" w:type="dxa"/>
            <w:vMerge/>
            <w:vAlign w:val="center"/>
            <w:hideMark/>
          </w:tcPr>
          <w:p w:rsidR="00171D1D" w:rsidRPr="00592BA7" w:rsidRDefault="00171D1D" w:rsidP="00592BA7">
            <w:pPr>
              <w:jc w:val="both"/>
              <w:rPr>
                <w:rFonts w:ascii="Times New Roman" w:hAnsi="Times New Roman" w:cs="Times New Roman"/>
                <w:sz w:val="20"/>
                <w:szCs w:val="20"/>
              </w:rPr>
            </w:pPr>
          </w:p>
        </w:tc>
      </w:tr>
      <w:tr w:rsidR="00171D1D" w:rsidRPr="00592BA7" w:rsidTr="00592BA7">
        <w:trPr>
          <w:trHeight w:val="20"/>
        </w:trPr>
        <w:tc>
          <w:tcPr>
            <w:tcW w:w="15333" w:type="dxa"/>
            <w:gridSpan w:val="9"/>
            <w:shd w:val="clear" w:color="auto" w:fill="auto"/>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Система электроснабжения</w:t>
            </w:r>
          </w:p>
        </w:tc>
      </w:tr>
      <w:tr w:rsidR="00171D1D" w:rsidRPr="00592BA7" w:rsidTr="00592BA7">
        <w:trPr>
          <w:trHeight w:val="20"/>
        </w:trPr>
        <w:tc>
          <w:tcPr>
            <w:tcW w:w="15333" w:type="dxa"/>
            <w:gridSpan w:val="9"/>
            <w:shd w:val="clear" w:color="auto" w:fill="auto"/>
            <w:noWrap/>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Группа 1. Строительство, модернизация или реконструкция объектов централизованных систем электроснабжения в целях подключения объектов капитального строительства абонентов</w:t>
            </w:r>
          </w:p>
        </w:tc>
      </w:tr>
      <w:tr w:rsidR="00171D1D" w:rsidRPr="00592BA7" w:rsidTr="00592BA7">
        <w:trPr>
          <w:trHeight w:val="20"/>
        </w:trPr>
        <w:tc>
          <w:tcPr>
            <w:tcW w:w="15333" w:type="dxa"/>
            <w:gridSpan w:val="9"/>
            <w:shd w:val="clear" w:color="auto" w:fill="auto"/>
            <w:noWrap/>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1.1. Строительство новых сетей электроснабжения в целях подключения объектов капитального строительства абонентов</w:t>
            </w:r>
          </w:p>
        </w:tc>
      </w:tr>
      <w:tr w:rsidR="00171D1D" w:rsidRPr="00592BA7" w:rsidTr="00592BA7">
        <w:trPr>
          <w:trHeight w:val="20"/>
        </w:trPr>
        <w:tc>
          <w:tcPr>
            <w:tcW w:w="15333" w:type="dxa"/>
            <w:gridSpan w:val="9"/>
            <w:shd w:val="clear" w:color="auto" w:fill="auto"/>
            <w:noWrap/>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Не планируется</w:t>
            </w:r>
          </w:p>
        </w:tc>
      </w:tr>
      <w:tr w:rsidR="00171D1D" w:rsidRPr="00592BA7" w:rsidTr="00592BA7">
        <w:trPr>
          <w:trHeight w:val="20"/>
        </w:trPr>
        <w:tc>
          <w:tcPr>
            <w:tcW w:w="15333" w:type="dxa"/>
            <w:gridSpan w:val="9"/>
            <w:shd w:val="clear" w:color="auto" w:fill="auto"/>
            <w:noWrap/>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1.2. Строительство иных объектов централизованных систем электроснабжения за исключением сетей электроснабжения</w:t>
            </w:r>
          </w:p>
        </w:tc>
      </w:tr>
      <w:tr w:rsidR="00171D1D" w:rsidRPr="00592BA7" w:rsidTr="00592BA7">
        <w:trPr>
          <w:trHeight w:val="20"/>
        </w:trPr>
        <w:tc>
          <w:tcPr>
            <w:tcW w:w="15333" w:type="dxa"/>
            <w:gridSpan w:val="9"/>
            <w:shd w:val="clear" w:color="auto" w:fill="auto"/>
            <w:noWrap/>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Не планируется</w:t>
            </w:r>
          </w:p>
        </w:tc>
      </w:tr>
      <w:tr w:rsidR="00171D1D" w:rsidRPr="00592BA7" w:rsidTr="00592BA7">
        <w:trPr>
          <w:trHeight w:val="20"/>
        </w:trPr>
        <w:tc>
          <w:tcPr>
            <w:tcW w:w="15333" w:type="dxa"/>
            <w:gridSpan w:val="9"/>
            <w:shd w:val="clear" w:color="auto" w:fill="auto"/>
            <w:noWrap/>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1.3. Увеличение пропускной способности существующих сетей электроснабжения в целях подключения объектов капитального строительства абонентов</w:t>
            </w:r>
          </w:p>
        </w:tc>
      </w:tr>
      <w:tr w:rsidR="00171D1D" w:rsidRPr="00592BA7" w:rsidTr="00592BA7">
        <w:trPr>
          <w:trHeight w:val="20"/>
        </w:trPr>
        <w:tc>
          <w:tcPr>
            <w:tcW w:w="15333" w:type="dxa"/>
            <w:gridSpan w:val="9"/>
            <w:shd w:val="clear" w:color="auto" w:fill="auto"/>
            <w:noWrap/>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Не планируется</w:t>
            </w:r>
          </w:p>
        </w:tc>
      </w:tr>
      <w:tr w:rsidR="00171D1D" w:rsidRPr="00592BA7" w:rsidTr="00592BA7">
        <w:trPr>
          <w:trHeight w:val="20"/>
        </w:trPr>
        <w:tc>
          <w:tcPr>
            <w:tcW w:w="15333" w:type="dxa"/>
            <w:gridSpan w:val="9"/>
            <w:shd w:val="clear" w:color="auto" w:fill="auto"/>
            <w:noWrap/>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1.4. Увеличение мощности и производительности существующих объектов централизованных систем электроснабжения, за исключением сетей электроснабжения </w:t>
            </w:r>
          </w:p>
        </w:tc>
      </w:tr>
      <w:tr w:rsidR="00171D1D" w:rsidRPr="00592BA7" w:rsidTr="00592BA7">
        <w:trPr>
          <w:trHeight w:val="20"/>
        </w:trPr>
        <w:tc>
          <w:tcPr>
            <w:tcW w:w="15333" w:type="dxa"/>
            <w:gridSpan w:val="9"/>
            <w:shd w:val="clear" w:color="auto" w:fill="auto"/>
            <w:noWrap/>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Не планируется</w:t>
            </w:r>
          </w:p>
        </w:tc>
      </w:tr>
      <w:tr w:rsidR="00171D1D" w:rsidRPr="00592BA7" w:rsidTr="00592BA7">
        <w:trPr>
          <w:trHeight w:val="20"/>
        </w:trPr>
        <w:tc>
          <w:tcPr>
            <w:tcW w:w="15333" w:type="dxa"/>
            <w:gridSpan w:val="9"/>
            <w:shd w:val="clear" w:color="auto" w:fill="auto"/>
            <w:noWrap/>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Группа 2. Строительство новых объектов централизованных систем электроснабжения не связанных с подключением новых объектов капитального строительства абонентов</w:t>
            </w:r>
          </w:p>
        </w:tc>
      </w:tr>
      <w:tr w:rsidR="00171D1D" w:rsidRPr="00592BA7" w:rsidTr="00592BA7">
        <w:trPr>
          <w:trHeight w:val="20"/>
        </w:trPr>
        <w:tc>
          <w:tcPr>
            <w:tcW w:w="15333" w:type="dxa"/>
            <w:gridSpan w:val="9"/>
            <w:shd w:val="clear" w:color="auto" w:fill="auto"/>
            <w:noWrap/>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2.1. Строительство новых сетей электроснабжения</w:t>
            </w:r>
          </w:p>
        </w:tc>
      </w:tr>
      <w:tr w:rsidR="00171D1D" w:rsidRPr="00592BA7" w:rsidTr="00592BA7">
        <w:trPr>
          <w:trHeight w:val="20"/>
        </w:trPr>
        <w:tc>
          <w:tcPr>
            <w:tcW w:w="15333" w:type="dxa"/>
            <w:gridSpan w:val="9"/>
            <w:shd w:val="clear" w:color="auto" w:fill="auto"/>
            <w:noWrap/>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Не планируется</w:t>
            </w:r>
          </w:p>
        </w:tc>
      </w:tr>
      <w:tr w:rsidR="00171D1D" w:rsidRPr="00592BA7" w:rsidTr="00592BA7">
        <w:trPr>
          <w:trHeight w:val="20"/>
        </w:trPr>
        <w:tc>
          <w:tcPr>
            <w:tcW w:w="15333" w:type="dxa"/>
            <w:gridSpan w:val="9"/>
            <w:shd w:val="clear" w:color="auto" w:fill="auto"/>
            <w:noWrap/>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2.2. Строительство иных объектов централизованных систем электроснабжения за исключением сетей электроснабжения</w:t>
            </w:r>
          </w:p>
        </w:tc>
      </w:tr>
      <w:tr w:rsidR="00171D1D" w:rsidRPr="00592BA7" w:rsidTr="00592BA7">
        <w:trPr>
          <w:trHeight w:val="20"/>
        </w:trPr>
        <w:tc>
          <w:tcPr>
            <w:tcW w:w="15333" w:type="dxa"/>
            <w:gridSpan w:val="9"/>
            <w:shd w:val="clear" w:color="auto" w:fill="auto"/>
            <w:noWrap/>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Не планируется</w:t>
            </w:r>
          </w:p>
        </w:tc>
      </w:tr>
      <w:tr w:rsidR="00171D1D" w:rsidRPr="00592BA7" w:rsidTr="00592BA7">
        <w:trPr>
          <w:trHeight w:val="20"/>
        </w:trPr>
        <w:tc>
          <w:tcPr>
            <w:tcW w:w="15333" w:type="dxa"/>
            <w:gridSpan w:val="9"/>
            <w:shd w:val="clear" w:color="auto" w:fill="auto"/>
            <w:noWrap/>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Группа 3. Модернизация или реконструкция существующих объектов централизованных систем электроснабжения в целях снижения уровня износа существующих объектов </w:t>
            </w:r>
          </w:p>
        </w:tc>
      </w:tr>
      <w:tr w:rsidR="00171D1D" w:rsidRPr="00592BA7" w:rsidTr="00592BA7">
        <w:trPr>
          <w:trHeight w:val="20"/>
        </w:trPr>
        <w:tc>
          <w:tcPr>
            <w:tcW w:w="15333" w:type="dxa"/>
            <w:gridSpan w:val="9"/>
            <w:shd w:val="clear" w:color="auto" w:fill="auto"/>
            <w:noWrap/>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Не планируется</w:t>
            </w:r>
          </w:p>
        </w:tc>
      </w:tr>
      <w:tr w:rsidR="00171D1D" w:rsidRPr="00592BA7" w:rsidTr="00592BA7">
        <w:trPr>
          <w:trHeight w:val="131"/>
        </w:trPr>
        <w:tc>
          <w:tcPr>
            <w:tcW w:w="15333" w:type="dxa"/>
            <w:gridSpan w:val="9"/>
            <w:shd w:val="clear" w:color="auto" w:fill="auto"/>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Группа 4. Мероприятия, направленные на повышение экологической эффективности, достижение плановых значений показателей надежности, качества и энергоэффективности объектов централизованных систем электроснабжения не включенные в прочие группы мероприятий</w:t>
            </w:r>
          </w:p>
        </w:tc>
      </w:tr>
      <w:tr w:rsidR="00171D1D" w:rsidRPr="00592BA7" w:rsidTr="00592BA7">
        <w:trPr>
          <w:trHeight w:val="20"/>
        </w:trPr>
        <w:tc>
          <w:tcPr>
            <w:tcW w:w="15333" w:type="dxa"/>
            <w:gridSpan w:val="9"/>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Не планируется</w:t>
            </w:r>
          </w:p>
        </w:tc>
      </w:tr>
      <w:tr w:rsidR="00171D1D" w:rsidRPr="00592BA7" w:rsidTr="00592BA7">
        <w:trPr>
          <w:trHeight w:val="20"/>
        </w:trPr>
        <w:tc>
          <w:tcPr>
            <w:tcW w:w="15333" w:type="dxa"/>
            <w:gridSpan w:val="9"/>
            <w:shd w:val="clear" w:color="auto" w:fill="auto"/>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Группа 5. Вывод из эксплуатации, консервация и демонтаж объектов централизованных систем электроснабжения </w:t>
            </w:r>
          </w:p>
        </w:tc>
      </w:tr>
      <w:tr w:rsidR="00171D1D" w:rsidRPr="00592BA7" w:rsidTr="00592BA7">
        <w:trPr>
          <w:trHeight w:val="20"/>
        </w:trPr>
        <w:tc>
          <w:tcPr>
            <w:tcW w:w="15333" w:type="dxa"/>
            <w:gridSpan w:val="9"/>
            <w:shd w:val="clear" w:color="auto" w:fill="auto"/>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5.1. Вывод из эксплуатации, консервация и демонтаж сетей электроснабжения </w:t>
            </w:r>
          </w:p>
        </w:tc>
      </w:tr>
      <w:tr w:rsidR="00171D1D" w:rsidRPr="00592BA7" w:rsidTr="00592BA7">
        <w:trPr>
          <w:trHeight w:val="20"/>
        </w:trPr>
        <w:tc>
          <w:tcPr>
            <w:tcW w:w="15333" w:type="dxa"/>
            <w:gridSpan w:val="9"/>
            <w:shd w:val="clear" w:color="auto" w:fill="auto"/>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Не планируется</w:t>
            </w:r>
          </w:p>
        </w:tc>
      </w:tr>
      <w:tr w:rsidR="00171D1D" w:rsidRPr="00592BA7" w:rsidTr="00592BA7">
        <w:trPr>
          <w:trHeight w:val="20"/>
        </w:trPr>
        <w:tc>
          <w:tcPr>
            <w:tcW w:w="15333" w:type="dxa"/>
            <w:gridSpan w:val="9"/>
            <w:shd w:val="clear" w:color="auto" w:fill="auto"/>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5.2. Вывод из эксплуатации, консервация и демонтаж иных объектов централизованных систем электроснабжения за исключением сетей электроснабжения </w:t>
            </w:r>
          </w:p>
        </w:tc>
      </w:tr>
      <w:tr w:rsidR="00171D1D" w:rsidRPr="00592BA7" w:rsidTr="00592BA7">
        <w:trPr>
          <w:trHeight w:val="20"/>
        </w:trPr>
        <w:tc>
          <w:tcPr>
            <w:tcW w:w="15333" w:type="dxa"/>
            <w:gridSpan w:val="9"/>
            <w:shd w:val="clear" w:color="auto" w:fill="auto"/>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Не планируется</w:t>
            </w:r>
          </w:p>
        </w:tc>
      </w:tr>
      <w:tr w:rsidR="00171D1D" w:rsidRPr="00592BA7" w:rsidTr="00592BA7">
        <w:trPr>
          <w:trHeight w:val="77"/>
        </w:trPr>
        <w:tc>
          <w:tcPr>
            <w:tcW w:w="15333" w:type="dxa"/>
            <w:gridSpan w:val="9"/>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Система теплоснабжения</w:t>
            </w:r>
          </w:p>
        </w:tc>
      </w:tr>
      <w:tr w:rsidR="00171D1D" w:rsidRPr="00592BA7" w:rsidTr="00592BA7">
        <w:trPr>
          <w:trHeight w:val="20"/>
        </w:trPr>
        <w:tc>
          <w:tcPr>
            <w:tcW w:w="15333" w:type="dxa"/>
            <w:gridSpan w:val="9"/>
            <w:shd w:val="clear" w:color="auto" w:fill="auto"/>
            <w:noWrap/>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Группа 1. Строительство, модернизация или реконструкция объектов централизованных систем теплоснабжения в целях подключения объектов капитального строительства абонентов</w:t>
            </w:r>
          </w:p>
        </w:tc>
      </w:tr>
      <w:tr w:rsidR="00171D1D" w:rsidRPr="00592BA7" w:rsidTr="00592BA7">
        <w:trPr>
          <w:trHeight w:val="20"/>
        </w:trPr>
        <w:tc>
          <w:tcPr>
            <w:tcW w:w="15333" w:type="dxa"/>
            <w:gridSpan w:val="9"/>
            <w:shd w:val="clear" w:color="auto" w:fill="auto"/>
            <w:noWrap/>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1.1. Строительство новых сетей теплоснабжения в целях подключения объектов капитального строительства абонентов</w:t>
            </w:r>
          </w:p>
        </w:tc>
      </w:tr>
      <w:tr w:rsidR="00171D1D" w:rsidRPr="00592BA7" w:rsidTr="00592BA7">
        <w:trPr>
          <w:trHeight w:val="20"/>
        </w:trPr>
        <w:tc>
          <w:tcPr>
            <w:tcW w:w="15333" w:type="dxa"/>
            <w:gridSpan w:val="9"/>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Не планируется</w:t>
            </w:r>
          </w:p>
        </w:tc>
      </w:tr>
      <w:tr w:rsidR="00171D1D" w:rsidRPr="00592BA7" w:rsidTr="00592BA7">
        <w:trPr>
          <w:trHeight w:val="20"/>
        </w:trPr>
        <w:tc>
          <w:tcPr>
            <w:tcW w:w="15333" w:type="dxa"/>
            <w:gridSpan w:val="9"/>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1.2. Строительство иных объектов централизованных систем теплоснабжения за исключением сетей теплоснабжения</w:t>
            </w:r>
          </w:p>
        </w:tc>
      </w:tr>
      <w:tr w:rsidR="00171D1D" w:rsidRPr="00592BA7" w:rsidTr="00592BA7">
        <w:trPr>
          <w:trHeight w:val="20"/>
        </w:trPr>
        <w:tc>
          <w:tcPr>
            <w:tcW w:w="15333" w:type="dxa"/>
            <w:gridSpan w:val="9"/>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Не планируется</w:t>
            </w:r>
          </w:p>
        </w:tc>
      </w:tr>
      <w:tr w:rsidR="00171D1D" w:rsidRPr="00592BA7" w:rsidTr="00592BA7">
        <w:trPr>
          <w:trHeight w:val="20"/>
        </w:trPr>
        <w:tc>
          <w:tcPr>
            <w:tcW w:w="15333" w:type="dxa"/>
            <w:gridSpan w:val="9"/>
            <w:shd w:val="clear" w:color="auto" w:fill="auto"/>
            <w:noWrap/>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1.3. Увеличение пропускной способности существующих сетей теплоснабжения в целях подключения объектов капитального строительства абонентов</w:t>
            </w:r>
          </w:p>
        </w:tc>
      </w:tr>
      <w:tr w:rsidR="00171D1D" w:rsidRPr="00592BA7" w:rsidTr="00592BA7">
        <w:trPr>
          <w:trHeight w:val="20"/>
        </w:trPr>
        <w:tc>
          <w:tcPr>
            <w:tcW w:w="15333" w:type="dxa"/>
            <w:gridSpan w:val="9"/>
            <w:shd w:val="clear" w:color="auto" w:fill="auto"/>
            <w:noWrap/>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Не планируется</w:t>
            </w:r>
          </w:p>
        </w:tc>
      </w:tr>
      <w:tr w:rsidR="00171D1D" w:rsidRPr="00592BA7" w:rsidTr="00592BA7">
        <w:trPr>
          <w:trHeight w:val="20"/>
        </w:trPr>
        <w:tc>
          <w:tcPr>
            <w:tcW w:w="15333" w:type="dxa"/>
            <w:gridSpan w:val="9"/>
            <w:shd w:val="clear" w:color="auto" w:fill="auto"/>
            <w:noWrap/>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1.4. Увеличение мощности и производительности существующих объектов централизованных систем теплоснабжения, за исключением сетей теплоснабжения </w:t>
            </w:r>
          </w:p>
        </w:tc>
      </w:tr>
      <w:tr w:rsidR="00171D1D" w:rsidRPr="00592BA7" w:rsidTr="00592BA7">
        <w:trPr>
          <w:trHeight w:val="20"/>
        </w:trPr>
        <w:tc>
          <w:tcPr>
            <w:tcW w:w="15333" w:type="dxa"/>
            <w:gridSpan w:val="9"/>
            <w:shd w:val="clear" w:color="auto" w:fill="auto"/>
            <w:noWrap/>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Не планируется</w:t>
            </w:r>
          </w:p>
        </w:tc>
      </w:tr>
      <w:tr w:rsidR="00171D1D" w:rsidRPr="00592BA7" w:rsidTr="00592BA7">
        <w:trPr>
          <w:trHeight w:val="20"/>
        </w:trPr>
        <w:tc>
          <w:tcPr>
            <w:tcW w:w="15333" w:type="dxa"/>
            <w:gridSpan w:val="9"/>
            <w:shd w:val="clear" w:color="auto" w:fill="auto"/>
            <w:noWrap/>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Группа 2. Строительство новых объектов централизованных систем теплоснабжения не связанных с подключением новых объектов капитального строительства абонентов</w:t>
            </w:r>
          </w:p>
        </w:tc>
      </w:tr>
      <w:tr w:rsidR="00171D1D" w:rsidRPr="00592BA7" w:rsidTr="00592BA7">
        <w:trPr>
          <w:trHeight w:val="20"/>
        </w:trPr>
        <w:tc>
          <w:tcPr>
            <w:tcW w:w="15333" w:type="dxa"/>
            <w:gridSpan w:val="9"/>
            <w:shd w:val="clear" w:color="auto" w:fill="auto"/>
            <w:noWrap/>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2.1. Строительство новых сетей теплоснабжения</w:t>
            </w:r>
          </w:p>
        </w:tc>
      </w:tr>
      <w:tr w:rsidR="00171D1D" w:rsidRPr="00592BA7" w:rsidTr="00592BA7">
        <w:trPr>
          <w:trHeight w:val="20"/>
        </w:trPr>
        <w:tc>
          <w:tcPr>
            <w:tcW w:w="15333" w:type="dxa"/>
            <w:gridSpan w:val="9"/>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Не планируется</w:t>
            </w:r>
          </w:p>
        </w:tc>
      </w:tr>
      <w:tr w:rsidR="00171D1D" w:rsidRPr="00592BA7" w:rsidTr="00592BA7">
        <w:trPr>
          <w:trHeight w:val="20"/>
        </w:trPr>
        <w:tc>
          <w:tcPr>
            <w:tcW w:w="15333" w:type="dxa"/>
            <w:gridSpan w:val="9"/>
            <w:shd w:val="clear" w:color="auto" w:fill="auto"/>
            <w:noWrap/>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2.2. Строительство иных объектов централизованных систем теплоснабжения за исключением сетей теплоснабжения</w:t>
            </w:r>
          </w:p>
        </w:tc>
      </w:tr>
      <w:tr w:rsidR="00171D1D" w:rsidRPr="00592BA7" w:rsidTr="00592BA7">
        <w:trPr>
          <w:trHeight w:val="20"/>
        </w:trPr>
        <w:tc>
          <w:tcPr>
            <w:tcW w:w="15333" w:type="dxa"/>
            <w:gridSpan w:val="9"/>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Не планируется</w:t>
            </w:r>
          </w:p>
        </w:tc>
      </w:tr>
      <w:tr w:rsidR="00171D1D" w:rsidRPr="00592BA7" w:rsidTr="00592BA7">
        <w:trPr>
          <w:trHeight w:val="20"/>
        </w:trPr>
        <w:tc>
          <w:tcPr>
            <w:tcW w:w="15333" w:type="dxa"/>
            <w:gridSpan w:val="9"/>
            <w:shd w:val="clear" w:color="auto" w:fill="auto"/>
            <w:noWrap/>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Группа 3. Модернизация или реконструкция существующих объектов централизованных систем теплоснабжения в целях снижения уровня износа существующих объектов </w:t>
            </w:r>
          </w:p>
        </w:tc>
      </w:tr>
      <w:tr w:rsidR="00171D1D" w:rsidRPr="00592BA7" w:rsidTr="00592BA7">
        <w:trPr>
          <w:trHeight w:val="20"/>
        </w:trPr>
        <w:tc>
          <w:tcPr>
            <w:tcW w:w="15333" w:type="dxa"/>
            <w:gridSpan w:val="9"/>
            <w:shd w:val="clear" w:color="auto" w:fill="auto"/>
            <w:noWrap/>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3.1. Модернизация или реконструкция существующих сетей теплоснабжения </w:t>
            </w:r>
          </w:p>
        </w:tc>
      </w:tr>
      <w:tr w:rsidR="00171D1D" w:rsidRPr="00592BA7" w:rsidTr="00592BA7">
        <w:trPr>
          <w:trHeight w:val="20"/>
        </w:trPr>
        <w:tc>
          <w:tcPr>
            <w:tcW w:w="936" w:type="dxa"/>
            <w:shd w:val="clear" w:color="auto" w:fill="auto"/>
            <w:noWrap/>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3.1.1</w:t>
            </w:r>
          </w:p>
        </w:tc>
        <w:tc>
          <w:tcPr>
            <w:tcW w:w="3488"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Замена ветхих тепловых сетей от </w:t>
            </w:r>
            <w:r w:rsidRPr="00592BA7">
              <w:rPr>
                <w:rFonts w:ascii="Times New Roman" w:hAnsi="Times New Roman" w:cs="Times New Roman"/>
                <w:sz w:val="20"/>
                <w:szCs w:val="20"/>
              </w:rPr>
              <w:lastRenderedPageBreak/>
              <w:t>котельных</w:t>
            </w:r>
          </w:p>
        </w:tc>
        <w:tc>
          <w:tcPr>
            <w:tcW w:w="2399"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 xml:space="preserve">В соответствии с Схемой </w:t>
            </w:r>
            <w:r w:rsidRPr="00592BA7">
              <w:rPr>
                <w:rFonts w:ascii="Times New Roman" w:hAnsi="Times New Roman" w:cs="Times New Roman"/>
                <w:sz w:val="20"/>
                <w:szCs w:val="20"/>
              </w:rPr>
              <w:lastRenderedPageBreak/>
              <w:t>теплоснабжения</w:t>
            </w:r>
          </w:p>
        </w:tc>
        <w:tc>
          <w:tcPr>
            <w:tcW w:w="2129"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 xml:space="preserve">Шумерлинский муниципальный </w:t>
            </w:r>
            <w:r w:rsidRPr="00592BA7">
              <w:rPr>
                <w:rFonts w:ascii="Times New Roman" w:hAnsi="Times New Roman" w:cs="Times New Roman"/>
                <w:sz w:val="20"/>
                <w:szCs w:val="20"/>
              </w:rPr>
              <w:lastRenderedPageBreak/>
              <w:t>округ</w:t>
            </w:r>
          </w:p>
        </w:tc>
        <w:tc>
          <w:tcPr>
            <w:tcW w:w="2276"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Протяженность, п.м.</w:t>
            </w:r>
          </w:p>
        </w:tc>
        <w:tc>
          <w:tcPr>
            <w:tcW w:w="1784" w:type="dxa"/>
            <w:gridSpan w:val="2"/>
            <w:shd w:val="clear" w:color="auto" w:fill="auto"/>
            <w:noWrap/>
            <w:vAlign w:val="center"/>
          </w:tcPr>
          <w:p w:rsidR="00171D1D" w:rsidRPr="00592BA7" w:rsidRDefault="00171D1D" w:rsidP="00592BA7">
            <w:pPr>
              <w:jc w:val="both"/>
              <w:rPr>
                <w:rFonts w:ascii="Times New Roman" w:hAnsi="Times New Roman" w:cs="Times New Roman"/>
                <w:sz w:val="20"/>
                <w:szCs w:val="20"/>
              </w:rPr>
            </w:pPr>
          </w:p>
        </w:tc>
        <w:tc>
          <w:tcPr>
            <w:tcW w:w="905" w:type="dxa"/>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2024</w:t>
            </w:r>
          </w:p>
        </w:tc>
        <w:tc>
          <w:tcPr>
            <w:tcW w:w="1416" w:type="dxa"/>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2032</w:t>
            </w:r>
          </w:p>
        </w:tc>
      </w:tr>
      <w:tr w:rsidR="00171D1D" w:rsidRPr="00592BA7" w:rsidTr="00592BA7">
        <w:trPr>
          <w:trHeight w:val="20"/>
        </w:trPr>
        <w:tc>
          <w:tcPr>
            <w:tcW w:w="15333" w:type="dxa"/>
            <w:gridSpan w:val="9"/>
            <w:shd w:val="clear" w:color="auto" w:fill="auto"/>
            <w:noWrap/>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3.2. Модернизация или реконструкция иных объектов централизованных систем теплоснабжения за исключением сетей теплоснабжения</w:t>
            </w:r>
          </w:p>
        </w:tc>
      </w:tr>
      <w:tr w:rsidR="00171D1D" w:rsidRPr="00592BA7" w:rsidTr="00592BA7">
        <w:trPr>
          <w:trHeight w:val="20"/>
        </w:trPr>
        <w:tc>
          <w:tcPr>
            <w:tcW w:w="15333" w:type="dxa"/>
            <w:gridSpan w:val="9"/>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Не планируется</w:t>
            </w:r>
          </w:p>
        </w:tc>
      </w:tr>
      <w:tr w:rsidR="00171D1D" w:rsidRPr="00592BA7" w:rsidTr="00592BA7">
        <w:trPr>
          <w:trHeight w:val="20"/>
        </w:trPr>
        <w:tc>
          <w:tcPr>
            <w:tcW w:w="15333" w:type="dxa"/>
            <w:gridSpan w:val="9"/>
            <w:shd w:val="clear" w:color="auto" w:fill="auto"/>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Группа 4. Мероприятия, направленные на повышение экологической эффективности, достижение плановых значений показателей надежности, качества и энергоэффективности объектов централизованных систем теплоснабжения не включенные в прочие группы мероприятий</w:t>
            </w:r>
          </w:p>
        </w:tc>
      </w:tr>
      <w:tr w:rsidR="00171D1D" w:rsidRPr="00592BA7" w:rsidTr="00592BA7">
        <w:trPr>
          <w:trHeight w:val="20"/>
        </w:trPr>
        <w:tc>
          <w:tcPr>
            <w:tcW w:w="15333" w:type="dxa"/>
            <w:gridSpan w:val="9"/>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Не планируется</w:t>
            </w:r>
          </w:p>
        </w:tc>
      </w:tr>
      <w:tr w:rsidR="00171D1D" w:rsidRPr="00592BA7" w:rsidTr="00592BA7">
        <w:trPr>
          <w:trHeight w:val="20"/>
        </w:trPr>
        <w:tc>
          <w:tcPr>
            <w:tcW w:w="15333" w:type="dxa"/>
            <w:gridSpan w:val="9"/>
            <w:shd w:val="clear" w:color="auto" w:fill="auto"/>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Группа 5. Вывод из эксплуатации, консервация и демонтаж объектов централизованных систем теплоснабжения </w:t>
            </w:r>
          </w:p>
        </w:tc>
      </w:tr>
      <w:tr w:rsidR="00171D1D" w:rsidRPr="00592BA7" w:rsidTr="00592BA7">
        <w:trPr>
          <w:trHeight w:val="20"/>
        </w:trPr>
        <w:tc>
          <w:tcPr>
            <w:tcW w:w="15333" w:type="dxa"/>
            <w:gridSpan w:val="9"/>
            <w:shd w:val="clear" w:color="auto" w:fill="auto"/>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5.1. Вывод из эксплуатации, консервация и демонтаж сетей теплоснабжения </w:t>
            </w:r>
          </w:p>
        </w:tc>
      </w:tr>
      <w:tr w:rsidR="00171D1D" w:rsidRPr="00592BA7" w:rsidTr="00592BA7">
        <w:trPr>
          <w:trHeight w:val="20"/>
        </w:trPr>
        <w:tc>
          <w:tcPr>
            <w:tcW w:w="15333" w:type="dxa"/>
            <w:gridSpan w:val="9"/>
            <w:shd w:val="clear" w:color="auto" w:fill="auto"/>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Не планируется</w:t>
            </w:r>
          </w:p>
        </w:tc>
      </w:tr>
      <w:tr w:rsidR="00171D1D" w:rsidRPr="00592BA7" w:rsidTr="00592BA7">
        <w:trPr>
          <w:trHeight w:val="20"/>
        </w:trPr>
        <w:tc>
          <w:tcPr>
            <w:tcW w:w="15333" w:type="dxa"/>
            <w:gridSpan w:val="9"/>
            <w:shd w:val="clear" w:color="auto" w:fill="auto"/>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5.2. Вывод из эксплуатации, консервация и демонтаж иных объектов централизованных систем теплоснабжения за исключением сетей теплоснабжения </w:t>
            </w:r>
          </w:p>
        </w:tc>
      </w:tr>
      <w:tr w:rsidR="00171D1D" w:rsidRPr="00592BA7" w:rsidTr="00592BA7">
        <w:trPr>
          <w:trHeight w:val="20"/>
        </w:trPr>
        <w:tc>
          <w:tcPr>
            <w:tcW w:w="15333" w:type="dxa"/>
            <w:gridSpan w:val="9"/>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Не планируется</w:t>
            </w:r>
          </w:p>
        </w:tc>
      </w:tr>
      <w:tr w:rsidR="00171D1D" w:rsidRPr="00592BA7" w:rsidTr="00592BA7">
        <w:trPr>
          <w:trHeight w:val="20"/>
        </w:trPr>
        <w:tc>
          <w:tcPr>
            <w:tcW w:w="15333" w:type="dxa"/>
            <w:gridSpan w:val="9"/>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Система водоснабжения</w:t>
            </w:r>
          </w:p>
        </w:tc>
      </w:tr>
      <w:tr w:rsidR="00171D1D" w:rsidRPr="00592BA7" w:rsidTr="00592BA7">
        <w:trPr>
          <w:trHeight w:val="20"/>
        </w:trPr>
        <w:tc>
          <w:tcPr>
            <w:tcW w:w="15333" w:type="dxa"/>
            <w:gridSpan w:val="9"/>
            <w:shd w:val="clear" w:color="auto" w:fill="auto"/>
            <w:noWrap/>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Группа 1. Строительство, модернизация или реконструкция объектов централизованных систем водоснабжения в целях подключения объектов капитального строительства абонентов</w:t>
            </w:r>
          </w:p>
        </w:tc>
      </w:tr>
      <w:tr w:rsidR="00171D1D" w:rsidRPr="00592BA7" w:rsidTr="00592BA7">
        <w:trPr>
          <w:trHeight w:val="20"/>
        </w:trPr>
        <w:tc>
          <w:tcPr>
            <w:tcW w:w="15333" w:type="dxa"/>
            <w:gridSpan w:val="9"/>
            <w:shd w:val="clear" w:color="auto" w:fill="auto"/>
            <w:noWrap/>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1.1. Строительство новых сетей водоснабжения в целях подключения объектов капитального строительства абонентов</w:t>
            </w:r>
          </w:p>
        </w:tc>
      </w:tr>
      <w:tr w:rsidR="00171D1D" w:rsidRPr="00592BA7" w:rsidTr="00592BA7">
        <w:trPr>
          <w:trHeight w:val="20"/>
        </w:trPr>
        <w:tc>
          <w:tcPr>
            <w:tcW w:w="15333" w:type="dxa"/>
            <w:gridSpan w:val="9"/>
            <w:shd w:val="clear" w:color="auto" w:fill="auto"/>
            <w:noWrap/>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Не планируется</w:t>
            </w:r>
          </w:p>
        </w:tc>
      </w:tr>
      <w:tr w:rsidR="00171D1D" w:rsidRPr="00592BA7" w:rsidTr="00592BA7">
        <w:trPr>
          <w:trHeight w:val="20"/>
        </w:trPr>
        <w:tc>
          <w:tcPr>
            <w:tcW w:w="15333" w:type="dxa"/>
            <w:gridSpan w:val="9"/>
            <w:shd w:val="clear" w:color="auto" w:fill="auto"/>
            <w:noWrap/>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1.2. Строительство иных объектов централизованных систем водоснабжения за исключением сетей водоснабжения</w:t>
            </w:r>
          </w:p>
        </w:tc>
      </w:tr>
      <w:tr w:rsidR="00171D1D" w:rsidRPr="00592BA7" w:rsidTr="00592BA7">
        <w:trPr>
          <w:trHeight w:val="20"/>
        </w:trPr>
        <w:tc>
          <w:tcPr>
            <w:tcW w:w="15333" w:type="dxa"/>
            <w:gridSpan w:val="9"/>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Не планируется</w:t>
            </w:r>
          </w:p>
        </w:tc>
      </w:tr>
      <w:tr w:rsidR="00171D1D" w:rsidRPr="00592BA7" w:rsidTr="00592BA7">
        <w:trPr>
          <w:trHeight w:val="20"/>
        </w:trPr>
        <w:tc>
          <w:tcPr>
            <w:tcW w:w="15333" w:type="dxa"/>
            <w:gridSpan w:val="9"/>
            <w:shd w:val="clear" w:color="auto" w:fill="auto"/>
            <w:noWrap/>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1.3. Увеличение пропускной способности существующих сетей водоснабжения в целях подключения объектов капитального строительства абонентов</w:t>
            </w:r>
          </w:p>
        </w:tc>
      </w:tr>
      <w:tr w:rsidR="00171D1D" w:rsidRPr="00592BA7" w:rsidTr="00592BA7">
        <w:trPr>
          <w:trHeight w:val="20"/>
        </w:trPr>
        <w:tc>
          <w:tcPr>
            <w:tcW w:w="15333" w:type="dxa"/>
            <w:gridSpan w:val="9"/>
            <w:shd w:val="clear" w:color="auto" w:fill="auto"/>
            <w:noWrap/>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Не планируется</w:t>
            </w:r>
          </w:p>
        </w:tc>
      </w:tr>
      <w:tr w:rsidR="00171D1D" w:rsidRPr="00592BA7" w:rsidTr="00592BA7">
        <w:trPr>
          <w:trHeight w:val="20"/>
        </w:trPr>
        <w:tc>
          <w:tcPr>
            <w:tcW w:w="15333" w:type="dxa"/>
            <w:gridSpan w:val="9"/>
            <w:shd w:val="clear" w:color="auto" w:fill="auto"/>
            <w:noWrap/>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1.4. Увеличение мощности и производительности существующих объектов централизованных систем водоснабжения, за исключением сетей водоснабжения </w:t>
            </w:r>
          </w:p>
        </w:tc>
      </w:tr>
      <w:tr w:rsidR="00171D1D" w:rsidRPr="00592BA7" w:rsidTr="00592BA7">
        <w:trPr>
          <w:trHeight w:val="20"/>
        </w:trPr>
        <w:tc>
          <w:tcPr>
            <w:tcW w:w="15333" w:type="dxa"/>
            <w:gridSpan w:val="9"/>
            <w:shd w:val="clear" w:color="auto" w:fill="auto"/>
            <w:noWrap/>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Не планируется</w:t>
            </w:r>
          </w:p>
        </w:tc>
      </w:tr>
      <w:tr w:rsidR="00171D1D" w:rsidRPr="00592BA7" w:rsidTr="00592BA7">
        <w:trPr>
          <w:trHeight w:val="20"/>
        </w:trPr>
        <w:tc>
          <w:tcPr>
            <w:tcW w:w="15333" w:type="dxa"/>
            <w:gridSpan w:val="9"/>
            <w:shd w:val="clear" w:color="auto" w:fill="auto"/>
            <w:noWrap/>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Группа 2. Строительство новых объектов централизованных систем водоснабжения не связанных с подключением новых объектов капитального строительства абонентов</w:t>
            </w:r>
          </w:p>
        </w:tc>
      </w:tr>
      <w:tr w:rsidR="00171D1D" w:rsidRPr="00592BA7" w:rsidTr="00592BA7">
        <w:trPr>
          <w:trHeight w:val="20"/>
        </w:trPr>
        <w:tc>
          <w:tcPr>
            <w:tcW w:w="15333" w:type="dxa"/>
            <w:gridSpan w:val="9"/>
            <w:shd w:val="clear" w:color="auto" w:fill="auto"/>
            <w:noWrap/>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2.1. Строительство новых сетей водоснабжения</w:t>
            </w:r>
          </w:p>
        </w:tc>
      </w:tr>
      <w:tr w:rsidR="00171D1D" w:rsidRPr="00592BA7" w:rsidTr="00592BA7">
        <w:trPr>
          <w:trHeight w:val="20"/>
        </w:trPr>
        <w:tc>
          <w:tcPr>
            <w:tcW w:w="15333" w:type="dxa"/>
            <w:gridSpan w:val="9"/>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Не планируется</w:t>
            </w:r>
          </w:p>
        </w:tc>
      </w:tr>
      <w:tr w:rsidR="00171D1D" w:rsidRPr="00592BA7" w:rsidTr="00592BA7">
        <w:trPr>
          <w:trHeight w:val="20"/>
        </w:trPr>
        <w:tc>
          <w:tcPr>
            <w:tcW w:w="15333" w:type="dxa"/>
            <w:gridSpan w:val="9"/>
            <w:shd w:val="clear" w:color="auto" w:fill="auto"/>
            <w:noWrap/>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2.2. Строительство иных объектов централизованных систем водоснабжения за исключением сетей водоснабжения</w:t>
            </w:r>
          </w:p>
        </w:tc>
      </w:tr>
      <w:tr w:rsidR="00171D1D" w:rsidRPr="00592BA7" w:rsidTr="00592BA7">
        <w:trPr>
          <w:trHeight w:val="20"/>
        </w:trPr>
        <w:tc>
          <w:tcPr>
            <w:tcW w:w="15333" w:type="dxa"/>
            <w:gridSpan w:val="9"/>
            <w:shd w:val="clear" w:color="auto" w:fill="auto"/>
            <w:noWrap/>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Не планируется</w:t>
            </w:r>
          </w:p>
        </w:tc>
      </w:tr>
      <w:tr w:rsidR="00171D1D" w:rsidRPr="00592BA7" w:rsidTr="00592BA7">
        <w:trPr>
          <w:trHeight w:val="20"/>
        </w:trPr>
        <w:tc>
          <w:tcPr>
            <w:tcW w:w="15333" w:type="dxa"/>
            <w:gridSpan w:val="9"/>
            <w:shd w:val="clear" w:color="auto" w:fill="auto"/>
            <w:noWrap/>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Группа 3. Модернизация или реконструкция существующих объектов централизованных систем водоснабжения в целях снижения уровня износа существующих объектов </w:t>
            </w:r>
          </w:p>
        </w:tc>
      </w:tr>
      <w:tr w:rsidR="00171D1D" w:rsidRPr="00592BA7" w:rsidTr="00592BA7">
        <w:trPr>
          <w:trHeight w:val="20"/>
        </w:trPr>
        <w:tc>
          <w:tcPr>
            <w:tcW w:w="15333" w:type="dxa"/>
            <w:gridSpan w:val="9"/>
            <w:shd w:val="clear" w:color="auto" w:fill="auto"/>
            <w:noWrap/>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3.1. Модернизация или реконструкция существующих сетей водоснабжения </w:t>
            </w:r>
          </w:p>
        </w:tc>
      </w:tr>
      <w:tr w:rsidR="00171D1D" w:rsidRPr="00592BA7" w:rsidTr="00592BA7">
        <w:trPr>
          <w:trHeight w:val="20"/>
        </w:trPr>
        <w:tc>
          <w:tcPr>
            <w:tcW w:w="936" w:type="dxa"/>
            <w:shd w:val="clear" w:color="auto" w:fill="auto"/>
            <w:noWrap/>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3.1.1</w:t>
            </w:r>
          </w:p>
        </w:tc>
        <w:tc>
          <w:tcPr>
            <w:tcW w:w="3488"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Замена ветхих участков водопроводных сетей</w:t>
            </w:r>
          </w:p>
        </w:tc>
        <w:tc>
          <w:tcPr>
            <w:tcW w:w="2399"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В соответствии с Схемой водоснабжения</w:t>
            </w:r>
          </w:p>
        </w:tc>
        <w:tc>
          <w:tcPr>
            <w:tcW w:w="2129"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Шумерлинский муниципальный округ</w:t>
            </w:r>
          </w:p>
        </w:tc>
        <w:tc>
          <w:tcPr>
            <w:tcW w:w="2276"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Протяженность, п.м.</w:t>
            </w:r>
          </w:p>
        </w:tc>
        <w:tc>
          <w:tcPr>
            <w:tcW w:w="1784" w:type="dxa"/>
            <w:gridSpan w:val="2"/>
            <w:shd w:val="clear" w:color="auto" w:fill="auto"/>
            <w:noWrap/>
            <w:vAlign w:val="center"/>
          </w:tcPr>
          <w:p w:rsidR="00171D1D" w:rsidRPr="00592BA7" w:rsidRDefault="00171D1D" w:rsidP="00592BA7">
            <w:pPr>
              <w:jc w:val="both"/>
              <w:rPr>
                <w:rFonts w:ascii="Times New Roman" w:hAnsi="Times New Roman" w:cs="Times New Roman"/>
                <w:sz w:val="20"/>
                <w:szCs w:val="20"/>
              </w:rPr>
            </w:pPr>
          </w:p>
        </w:tc>
        <w:tc>
          <w:tcPr>
            <w:tcW w:w="905"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2026</w:t>
            </w:r>
          </w:p>
        </w:tc>
        <w:tc>
          <w:tcPr>
            <w:tcW w:w="1416"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2032</w:t>
            </w:r>
          </w:p>
        </w:tc>
      </w:tr>
      <w:tr w:rsidR="00171D1D" w:rsidRPr="00592BA7" w:rsidTr="00592BA7">
        <w:trPr>
          <w:trHeight w:val="20"/>
        </w:trPr>
        <w:tc>
          <w:tcPr>
            <w:tcW w:w="15333" w:type="dxa"/>
            <w:gridSpan w:val="9"/>
            <w:shd w:val="clear" w:color="auto" w:fill="auto"/>
            <w:noWrap/>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3.2. Модернизация или реконструкция существующих объектов централизованных систем водоснабжения за исключением сетей водоснабжения </w:t>
            </w:r>
          </w:p>
        </w:tc>
      </w:tr>
      <w:tr w:rsidR="00171D1D" w:rsidRPr="00592BA7" w:rsidTr="00592BA7">
        <w:trPr>
          <w:trHeight w:val="20"/>
        </w:trPr>
        <w:tc>
          <w:tcPr>
            <w:tcW w:w="15333" w:type="dxa"/>
            <w:gridSpan w:val="9"/>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Не планируется</w:t>
            </w:r>
          </w:p>
        </w:tc>
      </w:tr>
      <w:tr w:rsidR="00171D1D" w:rsidRPr="00592BA7" w:rsidTr="00592BA7">
        <w:trPr>
          <w:trHeight w:val="20"/>
        </w:trPr>
        <w:tc>
          <w:tcPr>
            <w:tcW w:w="15333" w:type="dxa"/>
            <w:gridSpan w:val="9"/>
            <w:shd w:val="clear" w:color="auto" w:fill="auto"/>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Группа 4. Мероприятия, направленные на повышение экологической эффективности, достижение плановых значений показателей надежности, качества и энергоэффективности объектов централизованных систем водоснабжения не включенные в прочие группы мероприятий</w:t>
            </w:r>
          </w:p>
        </w:tc>
      </w:tr>
      <w:tr w:rsidR="00171D1D" w:rsidRPr="00592BA7" w:rsidTr="00592BA7">
        <w:trPr>
          <w:trHeight w:val="20"/>
        </w:trPr>
        <w:tc>
          <w:tcPr>
            <w:tcW w:w="15333" w:type="dxa"/>
            <w:gridSpan w:val="9"/>
            <w:shd w:val="clear" w:color="auto" w:fill="auto"/>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Не планируется</w:t>
            </w:r>
          </w:p>
        </w:tc>
      </w:tr>
      <w:tr w:rsidR="00171D1D" w:rsidRPr="00592BA7" w:rsidTr="00592BA7">
        <w:trPr>
          <w:trHeight w:val="20"/>
        </w:trPr>
        <w:tc>
          <w:tcPr>
            <w:tcW w:w="15333" w:type="dxa"/>
            <w:gridSpan w:val="9"/>
            <w:shd w:val="clear" w:color="auto" w:fill="auto"/>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Группа 5. Вывод из эксплуатации, консервация и демонтаж объектов централизованных систем водоснабжения </w:t>
            </w:r>
          </w:p>
        </w:tc>
      </w:tr>
      <w:tr w:rsidR="00171D1D" w:rsidRPr="00592BA7" w:rsidTr="00592BA7">
        <w:trPr>
          <w:trHeight w:val="20"/>
        </w:trPr>
        <w:tc>
          <w:tcPr>
            <w:tcW w:w="15333" w:type="dxa"/>
            <w:gridSpan w:val="9"/>
            <w:shd w:val="clear" w:color="auto" w:fill="auto"/>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5.1. Вывод из эксплуатации, консервация и демонтаж сетей водоснабжения </w:t>
            </w:r>
          </w:p>
        </w:tc>
      </w:tr>
      <w:tr w:rsidR="00171D1D" w:rsidRPr="00592BA7" w:rsidTr="00592BA7">
        <w:trPr>
          <w:trHeight w:val="20"/>
        </w:trPr>
        <w:tc>
          <w:tcPr>
            <w:tcW w:w="15333" w:type="dxa"/>
            <w:gridSpan w:val="9"/>
            <w:shd w:val="clear" w:color="auto" w:fill="auto"/>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Не планируется</w:t>
            </w:r>
          </w:p>
        </w:tc>
      </w:tr>
      <w:tr w:rsidR="00171D1D" w:rsidRPr="00592BA7" w:rsidTr="00592BA7">
        <w:trPr>
          <w:trHeight w:val="20"/>
        </w:trPr>
        <w:tc>
          <w:tcPr>
            <w:tcW w:w="15333" w:type="dxa"/>
            <w:gridSpan w:val="9"/>
            <w:shd w:val="clear" w:color="auto" w:fill="auto"/>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5.2. Вывод из эксплуатации, консервация и демонтаж иных объектов централизованных систем водоснабжения за исключением сетей водоснабжения </w:t>
            </w:r>
          </w:p>
        </w:tc>
      </w:tr>
      <w:tr w:rsidR="00171D1D" w:rsidRPr="00592BA7" w:rsidTr="00592BA7">
        <w:trPr>
          <w:trHeight w:val="20"/>
        </w:trPr>
        <w:tc>
          <w:tcPr>
            <w:tcW w:w="15333" w:type="dxa"/>
            <w:gridSpan w:val="9"/>
            <w:shd w:val="clear" w:color="auto" w:fill="auto"/>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Не планируется</w:t>
            </w:r>
          </w:p>
        </w:tc>
      </w:tr>
      <w:tr w:rsidR="00171D1D" w:rsidRPr="00592BA7" w:rsidTr="00592BA7">
        <w:trPr>
          <w:trHeight w:val="20"/>
        </w:trPr>
        <w:tc>
          <w:tcPr>
            <w:tcW w:w="15333" w:type="dxa"/>
            <w:gridSpan w:val="9"/>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Система водоотведения</w:t>
            </w:r>
          </w:p>
        </w:tc>
      </w:tr>
      <w:tr w:rsidR="00171D1D" w:rsidRPr="00592BA7" w:rsidTr="00592BA7">
        <w:trPr>
          <w:trHeight w:val="20"/>
        </w:trPr>
        <w:tc>
          <w:tcPr>
            <w:tcW w:w="15333" w:type="dxa"/>
            <w:gridSpan w:val="9"/>
            <w:shd w:val="clear" w:color="auto" w:fill="auto"/>
            <w:noWrap/>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Группа 1. Строительство, модернизация или реконструкция объектов централизованных систем водоотведения в целях подключения объектов капитального строительства абонентов</w:t>
            </w:r>
          </w:p>
        </w:tc>
      </w:tr>
      <w:tr w:rsidR="00171D1D" w:rsidRPr="00592BA7" w:rsidTr="00592BA7">
        <w:trPr>
          <w:trHeight w:val="20"/>
        </w:trPr>
        <w:tc>
          <w:tcPr>
            <w:tcW w:w="15333" w:type="dxa"/>
            <w:gridSpan w:val="9"/>
            <w:shd w:val="clear" w:color="auto" w:fill="auto"/>
            <w:noWrap/>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1.1. Строительство новых сетей водоотведения в целях подключения объектов капитального строительства абонентов</w:t>
            </w:r>
          </w:p>
        </w:tc>
      </w:tr>
      <w:tr w:rsidR="00171D1D" w:rsidRPr="00592BA7" w:rsidTr="00592BA7">
        <w:trPr>
          <w:trHeight w:val="20"/>
        </w:trPr>
        <w:tc>
          <w:tcPr>
            <w:tcW w:w="936" w:type="dxa"/>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1.1.1</w:t>
            </w:r>
          </w:p>
        </w:tc>
        <w:tc>
          <w:tcPr>
            <w:tcW w:w="3488"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Строительство наружных сетей канализации жилого микрорайона с малоэтажными и коттеджного типа домами</w:t>
            </w:r>
          </w:p>
        </w:tc>
        <w:tc>
          <w:tcPr>
            <w:tcW w:w="2399"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СТП Чувашской Республики</w:t>
            </w:r>
          </w:p>
        </w:tc>
        <w:tc>
          <w:tcPr>
            <w:tcW w:w="2129"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д. Шумерля (ул. Благовещенская)</w:t>
            </w:r>
          </w:p>
        </w:tc>
        <w:tc>
          <w:tcPr>
            <w:tcW w:w="2276" w:type="dxa"/>
            <w:shd w:val="clear" w:color="auto" w:fill="auto"/>
            <w:vAlign w:val="center"/>
          </w:tcPr>
          <w:p w:rsidR="00171D1D" w:rsidRPr="00592BA7" w:rsidRDefault="00171D1D" w:rsidP="00592BA7">
            <w:pPr>
              <w:jc w:val="both"/>
              <w:rPr>
                <w:rFonts w:ascii="Times New Roman" w:hAnsi="Times New Roman" w:cs="Times New Roman"/>
                <w:sz w:val="20"/>
                <w:szCs w:val="20"/>
              </w:rPr>
            </w:pPr>
          </w:p>
        </w:tc>
        <w:tc>
          <w:tcPr>
            <w:tcW w:w="1784" w:type="dxa"/>
            <w:gridSpan w:val="2"/>
            <w:shd w:val="clear" w:color="auto" w:fill="auto"/>
            <w:vAlign w:val="center"/>
          </w:tcPr>
          <w:p w:rsidR="00171D1D" w:rsidRPr="00592BA7" w:rsidRDefault="00171D1D" w:rsidP="00592BA7">
            <w:pPr>
              <w:jc w:val="both"/>
              <w:rPr>
                <w:rFonts w:ascii="Times New Roman" w:hAnsi="Times New Roman" w:cs="Times New Roman"/>
                <w:sz w:val="20"/>
                <w:szCs w:val="20"/>
              </w:rPr>
            </w:pPr>
          </w:p>
        </w:tc>
        <w:tc>
          <w:tcPr>
            <w:tcW w:w="905"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2034</w:t>
            </w:r>
          </w:p>
        </w:tc>
        <w:tc>
          <w:tcPr>
            <w:tcW w:w="1416"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2034</w:t>
            </w:r>
          </w:p>
        </w:tc>
      </w:tr>
      <w:tr w:rsidR="00171D1D" w:rsidRPr="00592BA7" w:rsidTr="00592BA7">
        <w:trPr>
          <w:trHeight w:val="20"/>
        </w:trPr>
        <w:tc>
          <w:tcPr>
            <w:tcW w:w="15333" w:type="dxa"/>
            <w:gridSpan w:val="9"/>
            <w:shd w:val="clear" w:color="auto" w:fill="auto"/>
            <w:noWrap/>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1.2. Строительство иных объектов централизованных систем водоотведения за исключением сетей водоотведения</w:t>
            </w:r>
          </w:p>
        </w:tc>
      </w:tr>
      <w:tr w:rsidR="00171D1D" w:rsidRPr="00592BA7" w:rsidTr="00592BA7">
        <w:trPr>
          <w:trHeight w:val="20"/>
        </w:trPr>
        <w:tc>
          <w:tcPr>
            <w:tcW w:w="936" w:type="dxa"/>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1.2.1</w:t>
            </w:r>
          </w:p>
        </w:tc>
        <w:tc>
          <w:tcPr>
            <w:tcW w:w="3488"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Проектирование канализационных очистных станций </w:t>
            </w:r>
          </w:p>
        </w:tc>
        <w:tc>
          <w:tcPr>
            <w:tcW w:w="2399"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В соответствии с Схемой водоотведения</w:t>
            </w:r>
          </w:p>
        </w:tc>
        <w:tc>
          <w:tcPr>
            <w:tcW w:w="2129"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д. Шумерля, п. Кабаново, с. Большие Алгаши, с. Русские </w:t>
            </w:r>
            <w:r w:rsidRPr="00592BA7">
              <w:rPr>
                <w:rFonts w:ascii="Times New Roman" w:hAnsi="Times New Roman" w:cs="Times New Roman"/>
                <w:sz w:val="20"/>
                <w:szCs w:val="20"/>
              </w:rPr>
              <w:lastRenderedPageBreak/>
              <w:t>Алгаши, д. Чувашские Алгаши, п. Мыслец, д. Нижняя Кумашка, д. Петропавловск, д. Торханы, д. Чертаганы, д. Малые Туваны, с. Туваны, с. Ходары, д. Егоркино, с. Юманаи, д. Кадеркино</w:t>
            </w:r>
          </w:p>
        </w:tc>
        <w:tc>
          <w:tcPr>
            <w:tcW w:w="2276" w:type="dxa"/>
            <w:shd w:val="clear" w:color="auto" w:fill="auto"/>
            <w:vAlign w:val="center"/>
          </w:tcPr>
          <w:p w:rsidR="00171D1D" w:rsidRPr="00592BA7" w:rsidRDefault="00171D1D" w:rsidP="00592BA7">
            <w:pPr>
              <w:jc w:val="both"/>
              <w:rPr>
                <w:rFonts w:ascii="Times New Roman" w:hAnsi="Times New Roman" w:cs="Times New Roman"/>
                <w:sz w:val="20"/>
                <w:szCs w:val="20"/>
              </w:rPr>
            </w:pPr>
          </w:p>
        </w:tc>
        <w:tc>
          <w:tcPr>
            <w:tcW w:w="1784" w:type="dxa"/>
            <w:gridSpan w:val="2"/>
            <w:vMerge w:val="restar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Приведение качества сбрасываемых </w:t>
            </w:r>
            <w:r w:rsidRPr="00592BA7">
              <w:rPr>
                <w:rFonts w:ascii="Times New Roman" w:hAnsi="Times New Roman" w:cs="Times New Roman"/>
                <w:sz w:val="20"/>
                <w:szCs w:val="20"/>
              </w:rPr>
              <w:lastRenderedPageBreak/>
              <w:t>сточных вод в соответствии с установленными требованиями</w:t>
            </w:r>
          </w:p>
        </w:tc>
        <w:tc>
          <w:tcPr>
            <w:tcW w:w="905"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2024</w:t>
            </w:r>
          </w:p>
        </w:tc>
        <w:tc>
          <w:tcPr>
            <w:tcW w:w="1416"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2024</w:t>
            </w:r>
          </w:p>
        </w:tc>
      </w:tr>
      <w:tr w:rsidR="00171D1D" w:rsidRPr="00592BA7" w:rsidTr="00592BA7">
        <w:trPr>
          <w:trHeight w:val="20"/>
        </w:trPr>
        <w:tc>
          <w:tcPr>
            <w:tcW w:w="936" w:type="dxa"/>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1.2.2</w:t>
            </w:r>
          </w:p>
        </w:tc>
        <w:tc>
          <w:tcPr>
            <w:tcW w:w="3488"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Строительство КОС</w:t>
            </w:r>
          </w:p>
        </w:tc>
        <w:tc>
          <w:tcPr>
            <w:tcW w:w="2399"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В соответствии с Схемой водоотведения</w:t>
            </w:r>
          </w:p>
        </w:tc>
        <w:tc>
          <w:tcPr>
            <w:tcW w:w="2129"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 Юманаи</w:t>
            </w:r>
          </w:p>
        </w:tc>
        <w:tc>
          <w:tcPr>
            <w:tcW w:w="2276" w:type="dxa"/>
            <w:shd w:val="clear" w:color="auto" w:fill="auto"/>
            <w:vAlign w:val="center"/>
          </w:tcPr>
          <w:p w:rsidR="00171D1D" w:rsidRPr="00592BA7" w:rsidRDefault="00171D1D" w:rsidP="00592BA7">
            <w:pPr>
              <w:jc w:val="both"/>
              <w:rPr>
                <w:rFonts w:ascii="Times New Roman" w:hAnsi="Times New Roman" w:cs="Times New Roman"/>
                <w:sz w:val="20"/>
                <w:szCs w:val="20"/>
              </w:rPr>
            </w:pPr>
          </w:p>
        </w:tc>
        <w:tc>
          <w:tcPr>
            <w:tcW w:w="1784" w:type="dxa"/>
            <w:gridSpan w:val="2"/>
            <w:vMerge/>
            <w:shd w:val="clear" w:color="auto" w:fill="auto"/>
            <w:vAlign w:val="center"/>
          </w:tcPr>
          <w:p w:rsidR="00171D1D" w:rsidRPr="00592BA7" w:rsidRDefault="00171D1D" w:rsidP="00592BA7">
            <w:pPr>
              <w:jc w:val="both"/>
              <w:rPr>
                <w:rFonts w:ascii="Times New Roman" w:hAnsi="Times New Roman" w:cs="Times New Roman"/>
                <w:sz w:val="20"/>
                <w:szCs w:val="20"/>
              </w:rPr>
            </w:pPr>
          </w:p>
        </w:tc>
        <w:tc>
          <w:tcPr>
            <w:tcW w:w="905"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2032</w:t>
            </w:r>
          </w:p>
        </w:tc>
        <w:tc>
          <w:tcPr>
            <w:tcW w:w="1416"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2032</w:t>
            </w:r>
          </w:p>
        </w:tc>
      </w:tr>
      <w:tr w:rsidR="00171D1D" w:rsidRPr="00592BA7" w:rsidTr="00592BA7">
        <w:trPr>
          <w:trHeight w:val="20"/>
        </w:trPr>
        <w:tc>
          <w:tcPr>
            <w:tcW w:w="15333" w:type="dxa"/>
            <w:gridSpan w:val="9"/>
            <w:shd w:val="clear" w:color="auto" w:fill="auto"/>
            <w:noWrap/>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1.3. Увеличение пропускной способности существующих сетей водоотведения в целях подключения объектов капитального строительства абонентов</w:t>
            </w:r>
          </w:p>
        </w:tc>
      </w:tr>
      <w:tr w:rsidR="00171D1D" w:rsidRPr="00592BA7" w:rsidTr="00592BA7">
        <w:trPr>
          <w:trHeight w:val="20"/>
        </w:trPr>
        <w:tc>
          <w:tcPr>
            <w:tcW w:w="15333" w:type="dxa"/>
            <w:gridSpan w:val="9"/>
            <w:shd w:val="clear" w:color="auto" w:fill="auto"/>
            <w:noWrap/>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Не планируется</w:t>
            </w:r>
          </w:p>
        </w:tc>
      </w:tr>
      <w:tr w:rsidR="00171D1D" w:rsidRPr="00592BA7" w:rsidTr="00592BA7">
        <w:trPr>
          <w:trHeight w:val="20"/>
        </w:trPr>
        <w:tc>
          <w:tcPr>
            <w:tcW w:w="15333" w:type="dxa"/>
            <w:gridSpan w:val="9"/>
            <w:shd w:val="clear" w:color="auto" w:fill="auto"/>
            <w:noWrap/>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1.4. Увеличение мощности и производительности существующих объектов централизованных систем водоотведения, за исключением сетей водоотведения </w:t>
            </w:r>
          </w:p>
        </w:tc>
      </w:tr>
      <w:tr w:rsidR="00171D1D" w:rsidRPr="00592BA7" w:rsidTr="00592BA7">
        <w:trPr>
          <w:trHeight w:val="20"/>
        </w:trPr>
        <w:tc>
          <w:tcPr>
            <w:tcW w:w="15333" w:type="dxa"/>
            <w:gridSpan w:val="9"/>
            <w:shd w:val="clear" w:color="auto" w:fill="auto"/>
            <w:noWrap/>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Не планируется</w:t>
            </w:r>
          </w:p>
        </w:tc>
      </w:tr>
      <w:tr w:rsidR="00171D1D" w:rsidRPr="00592BA7" w:rsidTr="00592BA7">
        <w:trPr>
          <w:trHeight w:val="20"/>
        </w:trPr>
        <w:tc>
          <w:tcPr>
            <w:tcW w:w="15333" w:type="dxa"/>
            <w:gridSpan w:val="9"/>
            <w:shd w:val="clear" w:color="auto" w:fill="auto"/>
            <w:noWrap/>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Группа 2. Строительство новых объектов централизованных систем водоотведения не связанных с подключением новых объектов капитального строительства абонентов</w:t>
            </w:r>
          </w:p>
        </w:tc>
      </w:tr>
      <w:tr w:rsidR="00171D1D" w:rsidRPr="00592BA7" w:rsidTr="00592BA7">
        <w:trPr>
          <w:trHeight w:val="20"/>
        </w:trPr>
        <w:tc>
          <w:tcPr>
            <w:tcW w:w="15333" w:type="dxa"/>
            <w:gridSpan w:val="9"/>
            <w:shd w:val="clear" w:color="auto" w:fill="auto"/>
            <w:noWrap/>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2.1. Строительство новых сетей водоотведения</w:t>
            </w:r>
          </w:p>
        </w:tc>
      </w:tr>
      <w:tr w:rsidR="00171D1D" w:rsidRPr="00592BA7" w:rsidTr="00592BA7">
        <w:trPr>
          <w:trHeight w:val="20"/>
        </w:trPr>
        <w:tc>
          <w:tcPr>
            <w:tcW w:w="15333" w:type="dxa"/>
            <w:gridSpan w:val="9"/>
            <w:shd w:val="clear" w:color="auto" w:fill="auto"/>
            <w:noWrap/>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Не планируется</w:t>
            </w:r>
          </w:p>
        </w:tc>
      </w:tr>
      <w:tr w:rsidR="00171D1D" w:rsidRPr="00592BA7" w:rsidTr="00592BA7">
        <w:trPr>
          <w:trHeight w:val="20"/>
        </w:trPr>
        <w:tc>
          <w:tcPr>
            <w:tcW w:w="15333" w:type="dxa"/>
            <w:gridSpan w:val="9"/>
            <w:shd w:val="clear" w:color="auto" w:fill="auto"/>
            <w:noWrap/>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2.2. Строительство иных объектов централизованных систем водоотведения за исключением сетей водоотведения</w:t>
            </w:r>
          </w:p>
        </w:tc>
      </w:tr>
      <w:tr w:rsidR="00171D1D" w:rsidRPr="00592BA7" w:rsidTr="00592BA7">
        <w:trPr>
          <w:trHeight w:val="20"/>
        </w:trPr>
        <w:tc>
          <w:tcPr>
            <w:tcW w:w="936" w:type="dxa"/>
            <w:shd w:val="clear" w:color="auto" w:fill="auto"/>
            <w:noWrap/>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2.2.1</w:t>
            </w:r>
          </w:p>
        </w:tc>
        <w:tc>
          <w:tcPr>
            <w:tcW w:w="3488"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Установка узлов учета принимаемых стоков на очистные сооружения</w:t>
            </w:r>
          </w:p>
        </w:tc>
        <w:tc>
          <w:tcPr>
            <w:tcW w:w="2399"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В соответствии с Схемой водоотведения</w:t>
            </w:r>
          </w:p>
        </w:tc>
        <w:tc>
          <w:tcPr>
            <w:tcW w:w="2129"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Шумерлинский муниципальный округ</w:t>
            </w:r>
          </w:p>
        </w:tc>
        <w:tc>
          <w:tcPr>
            <w:tcW w:w="2276" w:type="dxa"/>
            <w:shd w:val="clear" w:color="auto" w:fill="auto"/>
            <w:vAlign w:val="center"/>
          </w:tcPr>
          <w:p w:rsidR="00171D1D" w:rsidRPr="00592BA7" w:rsidRDefault="00171D1D" w:rsidP="00592BA7">
            <w:pPr>
              <w:jc w:val="both"/>
              <w:rPr>
                <w:rFonts w:ascii="Times New Roman" w:hAnsi="Times New Roman" w:cs="Times New Roman"/>
                <w:sz w:val="20"/>
                <w:szCs w:val="20"/>
              </w:rPr>
            </w:pPr>
          </w:p>
        </w:tc>
        <w:tc>
          <w:tcPr>
            <w:tcW w:w="1784" w:type="dxa"/>
            <w:gridSpan w:val="2"/>
            <w:shd w:val="clear" w:color="auto" w:fill="auto"/>
            <w:vAlign w:val="center"/>
          </w:tcPr>
          <w:p w:rsidR="00171D1D" w:rsidRPr="00592BA7" w:rsidRDefault="00171D1D" w:rsidP="00592BA7">
            <w:pPr>
              <w:jc w:val="both"/>
              <w:rPr>
                <w:rFonts w:ascii="Times New Roman" w:hAnsi="Times New Roman" w:cs="Times New Roman"/>
                <w:sz w:val="20"/>
                <w:szCs w:val="20"/>
              </w:rPr>
            </w:pPr>
          </w:p>
        </w:tc>
        <w:tc>
          <w:tcPr>
            <w:tcW w:w="905"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2032</w:t>
            </w:r>
          </w:p>
        </w:tc>
        <w:tc>
          <w:tcPr>
            <w:tcW w:w="1416"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2032</w:t>
            </w:r>
          </w:p>
        </w:tc>
      </w:tr>
      <w:tr w:rsidR="00171D1D" w:rsidRPr="00592BA7" w:rsidTr="00592BA7">
        <w:trPr>
          <w:trHeight w:val="20"/>
        </w:trPr>
        <w:tc>
          <w:tcPr>
            <w:tcW w:w="15333" w:type="dxa"/>
            <w:gridSpan w:val="9"/>
            <w:shd w:val="clear" w:color="auto" w:fill="auto"/>
            <w:noWrap/>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Группа 3. Модернизация или реконструкция существующих объектов централизованных систем водоотведения в целях снижения уровня износа существующих объектов </w:t>
            </w:r>
          </w:p>
        </w:tc>
      </w:tr>
      <w:tr w:rsidR="00171D1D" w:rsidRPr="00592BA7" w:rsidTr="00592BA7">
        <w:trPr>
          <w:trHeight w:val="20"/>
        </w:trPr>
        <w:tc>
          <w:tcPr>
            <w:tcW w:w="15333" w:type="dxa"/>
            <w:gridSpan w:val="9"/>
            <w:shd w:val="clear" w:color="auto" w:fill="auto"/>
            <w:noWrap/>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3.1. Модернизация или реконструкция существующих сетей водоотведения </w:t>
            </w:r>
          </w:p>
        </w:tc>
      </w:tr>
      <w:tr w:rsidR="00171D1D" w:rsidRPr="00592BA7" w:rsidTr="00592BA7">
        <w:trPr>
          <w:trHeight w:val="20"/>
        </w:trPr>
        <w:tc>
          <w:tcPr>
            <w:tcW w:w="936" w:type="dxa"/>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3.1.1</w:t>
            </w:r>
          </w:p>
        </w:tc>
        <w:tc>
          <w:tcPr>
            <w:tcW w:w="3488"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Реконструкция канализационных коллекторов</w:t>
            </w:r>
          </w:p>
        </w:tc>
        <w:tc>
          <w:tcPr>
            <w:tcW w:w="2399"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В соответствии с Схемой водоотведения</w:t>
            </w:r>
          </w:p>
        </w:tc>
        <w:tc>
          <w:tcPr>
            <w:tcW w:w="2129"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Шумерлинский муниципальный округ</w:t>
            </w:r>
          </w:p>
        </w:tc>
        <w:tc>
          <w:tcPr>
            <w:tcW w:w="2276"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Протяженность, п.м.</w:t>
            </w:r>
          </w:p>
        </w:tc>
        <w:tc>
          <w:tcPr>
            <w:tcW w:w="1784" w:type="dxa"/>
            <w:gridSpan w:val="2"/>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1900</w:t>
            </w:r>
          </w:p>
        </w:tc>
        <w:tc>
          <w:tcPr>
            <w:tcW w:w="905"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2023</w:t>
            </w:r>
          </w:p>
        </w:tc>
        <w:tc>
          <w:tcPr>
            <w:tcW w:w="1416"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2032</w:t>
            </w:r>
          </w:p>
        </w:tc>
      </w:tr>
      <w:tr w:rsidR="00171D1D" w:rsidRPr="00592BA7" w:rsidTr="00592BA7">
        <w:trPr>
          <w:trHeight w:val="20"/>
        </w:trPr>
        <w:tc>
          <w:tcPr>
            <w:tcW w:w="15333" w:type="dxa"/>
            <w:gridSpan w:val="9"/>
            <w:shd w:val="clear" w:color="auto" w:fill="auto"/>
            <w:noWrap/>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3.2. Модернизация или реконструкция существующих объектов централизованных систем водоотведения за исключением сетей водоотведения </w:t>
            </w:r>
          </w:p>
        </w:tc>
      </w:tr>
      <w:tr w:rsidR="00171D1D" w:rsidRPr="00592BA7" w:rsidTr="00592BA7">
        <w:trPr>
          <w:trHeight w:val="20"/>
        </w:trPr>
        <w:tc>
          <w:tcPr>
            <w:tcW w:w="15333" w:type="dxa"/>
            <w:gridSpan w:val="9"/>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Не планируется</w:t>
            </w:r>
          </w:p>
        </w:tc>
      </w:tr>
      <w:tr w:rsidR="00171D1D" w:rsidRPr="00592BA7" w:rsidTr="00592BA7">
        <w:trPr>
          <w:trHeight w:val="20"/>
        </w:trPr>
        <w:tc>
          <w:tcPr>
            <w:tcW w:w="15333" w:type="dxa"/>
            <w:gridSpan w:val="9"/>
            <w:shd w:val="clear" w:color="auto" w:fill="auto"/>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Группа 4. Мероприятия, направленные на повышение экологической эффективности, достижение плановых значений показателей надежности, качества и энергоэффективности объектов централизованных систем водоотведения не включенные в прочие группы мероприятий</w:t>
            </w:r>
          </w:p>
        </w:tc>
      </w:tr>
      <w:tr w:rsidR="00171D1D" w:rsidRPr="00592BA7" w:rsidTr="00592BA7">
        <w:trPr>
          <w:trHeight w:val="20"/>
        </w:trPr>
        <w:tc>
          <w:tcPr>
            <w:tcW w:w="15333" w:type="dxa"/>
            <w:gridSpan w:val="9"/>
            <w:shd w:val="clear" w:color="auto" w:fill="auto"/>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Не планируется</w:t>
            </w:r>
          </w:p>
        </w:tc>
      </w:tr>
      <w:tr w:rsidR="00171D1D" w:rsidRPr="00592BA7" w:rsidTr="00592BA7">
        <w:trPr>
          <w:trHeight w:val="20"/>
        </w:trPr>
        <w:tc>
          <w:tcPr>
            <w:tcW w:w="15333" w:type="dxa"/>
            <w:gridSpan w:val="9"/>
            <w:shd w:val="clear" w:color="auto" w:fill="auto"/>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Группа 5. Вывод из эксплуатации, консервация и демонтаж объектов централизованных систем водоотведения </w:t>
            </w:r>
          </w:p>
        </w:tc>
      </w:tr>
      <w:tr w:rsidR="00171D1D" w:rsidRPr="00592BA7" w:rsidTr="00592BA7">
        <w:trPr>
          <w:trHeight w:val="20"/>
        </w:trPr>
        <w:tc>
          <w:tcPr>
            <w:tcW w:w="15333" w:type="dxa"/>
            <w:gridSpan w:val="9"/>
            <w:shd w:val="clear" w:color="auto" w:fill="auto"/>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5.1. Вывод из эксплуатации, консервация и демонтаж сетей водоотведения </w:t>
            </w:r>
          </w:p>
        </w:tc>
      </w:tr>
      <w:tr w:rsidR="00171D1D" w:rsidRPr="00592BA7" w:rsidTr="00592BA7">
        <w:trPr>
          <w:trHeight w:val="20"/>
        </w:trPr>
        <w:tc>
          <w:tcPr>
            <w:tcW w:w="15333" w:type="dxa"/>
            <w:gridSpan w:val="9"/>
            <w:shd w:val="clear" w:color="auto" w:fill="auto"/>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Не планируется</w:t>
            </w:r>
          </w:p>
        </w:tc>
      </w:tr>
      <w:tr w:rsidR="00171D1D" w:rsidRPr="00592BA7" w:rsidTr="00592BA7">
        <w:trPr>
          <w:trHeight w:val="20"/>
        </w:trPr>
        <w:tc>
          <w:tcPr>
            <w:tcW w:w="15333" w:type="dxa"/>
            <w:gridSpan w:val="9"/>
            <w:shd w:val="clear" w:color="auto" w:fill="auto"/>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5.2. Вывод из эксплуатации, консервация и демонтаж иных объектов централизованных систем водоотведения за исключением сетей водоотведения </w:t>
            </w:r>
          </w:p>
        </w:tc>
      </w:tr>
      <w:tr w:rsidR="00171D1D" w:rsidRPr="00592BA7" w:rsidTr="00592BA7">
        <w:trPr>
          <w:trHeight w:val="195"/>
        </w:trPr>
        <w:tc>
          <w:tcPr>
            <w:tcW w:w="15333" w:type="dxa"/>
            <w:gridSpan w:val="9"/>
            <w:shd w:val="clear" w:color="auto" w:fill="auto"/>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Не планируется</w:t>
            </w:r>
          </w:p>
        </w:tc>
      </w:tr>
      <w:tr w:rsidR="00171D1D" w:rsidRPr="00592BA7" w:rsidTr="00592BA7">
        <w:trPr>
          <w:trHeight w:val="198"/>
        </w:trPr>
        <w:tc>
          <w:tcPr>
            <w:tcW w:w="15333" w:type="dxa"/>
            <w:gridSpan w:val="9"/>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Система газоснабжения</w:t>
            </w:r>
          </w:p>
        </w:tc>
      </w:tr>
      <w:tr w:rsidR="00171D1D" w:rsidRPr="00592BA7" w:rsidTr="00592BA7">
        <w:trPr>
          <w:trHeight w:val="20"/>
        </w:trPr>
        <w:tc>
          <w:tcPr>
            <w:tcW w:w="15333" w:type="dxa"/>
            <w:gridSpan w:val="9"/>
            <w:shd w:val="clear" w:color="auto" w:fill="auto"/>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Группа 1. Строительство, модернизация или реконструкция объектов централизованных систем газоснабжения в целях подключения объектов капитального строительства абонентов</w:t>
            </w:r>
          </w:p>
        </w:tc>
      </w:tr>
      <w:tr w:rsidR="00171D1D" w:rsidRPr="00592BA7" w:rsidTr="00592BA7">
        <w:trPr>
          <w:trHeight w:val="20"/>
        </w:trPr>
        <w:tc>
          <w:tcPr>
            <w:tcW w:w="15333" w:type="dxa"/>
            <w:gridSpan w:val="9"/>
            <w:shd w:val="clear" w:color="auto" w:fill="auto"/>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Не планируется</w:t>
            </w:r>
          </w:p>
        </w:tc>
      </w:tr>
      <w:tr w:rsidR="00171D1D" w:rsidRPr="00592BA7" w:rsidTr="00592BA7">
        <w:trPr>
          <w:trHeight w:val="20"/>
        </w:trPr>
        <w:tc>
          <w:tcPr>
            <w:tcW w:w="15333" w:type="dxa"/>
            <w:gridSpan w:val="9"/>
            <w:shd w:val="clear" w:color="auto" w:fill="auto"/>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1.1. Строительство новых сетей газоснабжения в целях подключения объектов капитального строительства абонентов</w:t>
            </w:r>
          </w:p>
        </w:tc>
      </w:tr>
      <w:tr w:rsidR="00171D1D" w:rsidRPr="00592BA7" w:rsidTr="00592BA7">
        <w:trPr>
          <w:trHeight w:val="20"/>
        </w:trPr>
        <w:tc>
          <w:tcPr>
            <w:tcW w:w="15333" w:type="dxa"/>
            <w:gridSpan w:val="9"/>
            <w:shd w:val="clear" w:color="auto" w:fill="auto"/>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Не планируется</w:t>
            </w:r>
          </w:p>
        </w:tc>
      </w:tr>
      <w:tr w:rsidR="00171D1D" w:rsidRPr="00592BA7" w:rsidTr="00592BA7">
        <w:trPr>
          <w:trHeight w:val="20"/>
        </w:trPr>
        <w:tc>
          <w:tcPr>
            <w:tcW w:w="15333" w:type="dxa"/>
            <w:gridSpan w:val="9"/>
            <w:shd w:val="clear" w:color="auto" w:fill="auto"/>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1.2. Строительство иных объектов централизованных систем газоснабжения за исключением сетей газоснабжения</w:t>
            </w:r>
          </w:p>
        </w:tc>
      </w:tr>
      <w:tr w:rsidR="00171D1D" w:rsidRPr="00592BA7" w:rsidTr="00592BA7">
        <w:trPr>
          <w:trHeight w:val="20"/>
        </w:trPr>
        <w:tc>
          <w:tcPr>
            <w:tcW w:w="936"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1.2.1</w:t>
            </w:r>
          </w:p>
        </w:tc>
        <w:tc>
          <w:tcPr>
            <w:tcW w:w="3488"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Строительство межпоселкового газопровода</w:t>
            </w:r>
          </w:p>
        </w:tc>
        <w:tc>
          <w:tcPr>
            <w:tcW w:w="2399"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СТП Чувашской Республики</w:t>
            </w:r>
          </w:p>
        </w:tc>
        <w:tc>
          <w:tcPr>
            <w:tcW w:w="2129"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Шумерлинский муниципальный округ</w:t>
            </w:r>
          </w:p>
        </w:tc>
        <w:tc>
          <w:tcPr>
            <w:tcW w:w="2276"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Протяженность, п.м.</w:t>
            </w:r>
          </w:p>
        </w:tc>
        <w:tc>
          <w:tcPr>
            <w:tcW w:w="1701"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28000</w:t>
            </w:r>
          </w:p>
        </w:tc>
        <w:tc>
          <w:tcPr>
            <w:tcW w:w="988" w:type="dxa"/>
            <w:gridSpan w:val="2"/>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2034</w:t>
            </w:r>
          </w:p>
        </w:tc>
        <w:tc>
          <w:tcPr>
            <w:tcW w:w="1416"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2034</w:t>
            </w:r>
          </w:p>
        </w:tc>
      </w:tr>
      <w:tr w:rsidR="00171D1D" w:rsidRPr="00592BA7" w:rsidTr="00592BA7">
        <w:trPr>
          <w:trHeight w:val="20"/>
        </w:trPr>
        <w:tc>
          <w:tcPr>
            <w:tcW w:w="15333" w:type="dxa"/>
            <w:gridSpan w:val="9"/>
            <w:shd w:val="clear" w:color="auto" w:fill="auto"/>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1.3. Увеличение пропускной способности существующих сетей газоснабжения в целях подключения объектов капитального строительства абонентов</w:t>
            </w:r>
          </w:p>
        </w:tc>
      </w:tr>
      <w:tr w:rsidR="00171D1D" w:rsidRPr="00592BA7" w:rsidTr="00592BA7">
        <w:trPr>
          <w:trHeight w:val="20"/>
        </w:trPr>
        <w:tc>
          <w:tcPr>
            <w:tcW w:w="15333" w:type="dxa"/>
            <w:gridSpan w:val="9"/>
            <w:shd w:val="clear" w:color="auto" w:fill="auto"/>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Не планируется</w:t>
            </w:r>
          </w:p>
        </w:tc>
      </w:tr>
      <w:tr w:rsidR="00171D1D" w:rsidRPr="00592BA7" w:rsidTr="00592BA7">
        <w:trPr>
          <w:trHeight w:val="20"/>
        </w:trPr>
        <w:tc>
          <w:tcPr>
            <w:tcW w:w="15333" w:type="dxa"/>
            <w:gridSpan w:val="9"/>
            <w:shd w:val="clear" w:color="auto" w:fill="auto"/>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1.4. Увеличение мощности и производительности существующих объектов централизованных систем газоснабжения, за исключением сетей газоснабжения </w:t>
            </w:r>
          </w:p>
        </w:tc>
      </w:tr>
      <w:tr w:rsidR="00171D1D" w:rsidRPr="00592BA7" w:rsidTr="00592BA7">
        <w:trPr>
          <w:trHeight w:val="20"/>
        </w:trPr>
        <w:tc>
          <w:tcPr>
            <w:tcW w:w="15333" w:type="dxa"/>
            <w:gridSpan w:val="9"/>
            <w:shd w:val="clear" w:color="auto" w:fill="auto"/>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Не планируется</w:t>
            </w:r>
          </w:p>
        </w:tc>
      </w:tr>
      <w:tr w:rsidR="00171D1D" w:rsidRPr="00592BA7" w:rsidTr="00592BA7">
        <w:trPr>
          <w:trHeight w:val="20"/>
        </w:trPr>
        <w:tc>
          <w:tcPr>
            <w:tcW w:w="15333" w:type="dxa"/>
            <w:gridSpan w:val="9"/>
            <w:shd w:val="clear" w:color="auto" w:fill="auto"/>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Группа 2. Строительство новых объектов централизованных систем газоснабжения не связанных с подключением новых объектов капитального строительства абонентов</w:t>
            </w:r>
          </w:p>
        </w:tc>
      </w:tr>
      <w:tr w:rsidR="00171D1D" w:rsidRPr="00592BA7" w:rsidTr="00592BA7">
        <w:trPr>
          <w:trHeight w:val="20"/>
        </w:trPr>
        <w:tc>
          <w:tcPr>
            <w:tcW w:w="15333" w:type="dxa"/>
            <w:gridSpan w:val="9"/>
            <w:shd w:val="clear" w:color="auto" w:fill="auto"/>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2.1. Строительство новых сетей газоснабжения</w:t>
            </w:r>
          </w:p>
        </w:tc>
      </w:tr>
      <w:tr w:rsidR="00171D1D" w:rsidRPr="00592BA7" w:rsidTr="00592BA7">
        <w:trPr>
          <w:trHeight w:val="20"/>
        </w:trPr>
        <w:tc>
          <w:tcPr>
            <w:tcW w:w="15333" w:type="dxa"/>
            <w:gridSpan w:val="9"/>
            <w:shd w:val="clear" w:color="auto" w:fill="auto"/>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Не планируется</w:t>
            </w:r>
          </w:p>
        </w:tc>
      </w:tr>
      <w:tr w:rsidR="00171D1D" w:rsidRPr="00592BA7" w:rsidTr="00592BA7">
        <w:trPr>
          <w:trHeight w:val="20"/>
        </w:trPr>
        <w:tc>
          <w:tcPr>
            <w:tcW w:w="15333" w:type="dxa"/>
            <w:gridSpan w:val="9"/>
            <w:shd w:val="clear" w:color="auto" w:fill="auto"/>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2.2. Строительство иных объектов централизованных систем газоснабжения за исключением сетей газоснабжения</w:t>
            </w:r>
          </w:p>
        </w:tc>
      </w:tr>
      <w:tr w:rsidR="00171D1D" w:rsidRPr="00592BA7" w:rsidTr="00592BA7">
        <w:trPr>
          <w:trHeight w:val="20"/>
        </w:trPr>
        <w:tc>
          <w:tcPr>
            <w:tcW w:w="15333" w:type="dxa"/>
            <w:gridSpan w:val="9"/>
            <w:shd w:val="clear" w:color="auto" w:fill="auto"/>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Не планируется</w:t>
            </w:r>
          </w:p>
        </w:tc>
      </w:tr>
      <w:tr w:rsidR="00171D1D" w:rsidRPr="00592BA7" w:rsidTr="00592BA7">
        <w:trPr>
          <w:trHeight w:val="20"/>
        </w:trPr>
        <w:tc>
          <w:tcPr>
            <w:tcW w:w="15333" w:type="dxa"/>
            <w:gridSpan w:val="9"/>
            <w:shd w:val="clear" w:color="auto" w:fill="auto"/>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Группа 3. Модернизация или реконструкция существующих объектов централизованных систем газоснабжения в целях снижения уровня износа существующих объектов </w:t>
            </w:r>
          </w:p>
        </w:tc>
      </w:tr>
      <w:tr w:rsidR="00171D1D" w:rsidRPr="00592BA7" w:rsidTr="00592BA7">
        <w:trPr>
          <w:trHeight w:val="20"/>
        </w:trPr>
        <w:tc>
          <w:tcPr>
            <w:tcW w:w="15333" w:type="dxa"/>
            <w:gridSpan w:val="9"/>
            <w:shd w:val="clear" w:color="auto" w:fill="auto"/>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Не планируется</w:t>
            </w:r>
          </w:p>
        </w:tc>
      </w:tr>
      <w:tr w:rsidR="00171D1D" w:rsidRPr="00592BA7" w:rsidTr="00592BA7">
        <w:trPr>
          <w:trHeight w:val="20"/>
        </w:trPr>
        <w:tc>
          <w:tcPr>
            <w:tcW w:w="15333" w:type="dxa"/>
            <w:gridSpan w:val="9"/>
            <w:shd w:val="clear" w:color="auto" w:fill="auto"/>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Группа 4. Мероприятия, направленные на повышение экологической эффективности, достижение плановых значений показателей надежности, качества и энергоэффективности объектов централизованных систем газоснабжения не включенные в прочие группы мероприятий</w:t>
            </w:r>
          </w:p>
        </w:tc>
      </w:tr>
      <w:tr w:rsidR="00171D1D" w:rsidRPr="00592BA7" w:rsidTr="00592BA7">
        <w:trPr>
          <w:trHeight w:val="20"/>
        </w:trPr>
        <w:tc>
          <w:tcPr>
            <w:tcW w:w="15333" w:type="dxa"/>
            <w:gridSpan w:val="9"/>
            <w:shd w:val="clear" w:color="auto" w:fill="auto"/>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Не планируется</w:t>
            </w:r>
          </w:p>
        </w:tc>
      </w:tr>
      <w:tr w:rsidR="00171D1D" w:rsidRPr="00592BA7" w:rsidTr="00592BA7">
        <w:trPr>
          <w:trHeight w:val="20"/>
        </w:trPr>
        <w:tc>
          <w:tcPr>
            <w:tcW w:w="15333" w:type="dxa"/>
            <w:gridSpan w:val="9"/>
            <w:shd w:val="clear" w:color="auto" w:fill="auto"/>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Группа 5. Вывод из эксплуатации, консервация и демонтаж объектов централизованных систем газоснабжения</w:t>
            </w:r>
          </w:p>
        </w:tc>
      </w:tr>
      <w:tr w:rsidR="00171D1D" w:rsidRPr="00592BA7" w:rsidTr="00592BA7">
        <w:trPr>
          <w:trHeight w:val="20"/>
        </w:trPr>
        <w:tc>
          <w:tcPr>
            <w:tcW w:w="15333" w:type="dxa"/>
            <w:gridSpan w:val="9"/>
            <w:shd w:val="clear" w:color="auto" w:fill="auto"/>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5.1. Вывод из эксплуатации, консервация и демонтаж сетей газоснабжения </w:t>
            </w:r>
          </w:p>
        </w:tc>
      </w:tr>
      <w:tr w:rsidR="00171D1D" w:rsidRPr="00592BA7" w:rsidTr="00592BA7">
        <w:trPr>
          <w:trHeight w:val="20"/>
        </w:trPr>
        <w:tc>
          <w:tcPr>
            <w:tcW w:w="15333" w:type="dxa"/>
            <w:gridSpan w:val="9"/>
            <w:shd w:val="clear" w:color="auto" w:fill="auto"/>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Не планируется</w:t>
            </w:r>
          </w:p>
        </w:tc>
      </w:tr>
      <w:tr w:rsidR="00171D1D" w:rsidRPr="00592BA7" w:rsidTr="00592BA7">
        <w:trPr>
          <w:trHeight w:val="20"/>
        </w:trPr>
        <w:tc>
          <w:tcPr>
            <w:tcW w:w="15333" w:type="dxa"/>
            <w:gridSpan w:val="9"/>
            <w:shd w:val="clear" w:color="auto" w:fill="auto"/>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5.2. Вывод из эксплуатации, консервация и демонтаж иных объектов централизованных систем электроснабжения за исключением сетей газоснабжения</w:t>
            </w:r>
          </w:p>
        </w:tc>
      </w:tr>
      <w:tr w:rsidR="00171D1D" w:rsidRPr="00592BA7" w:rsidTr="00592BA7">
        <w:trPr>
          <w:trHeight w:val="20"/>
        </w:trPr>
        <w:tc>
          <w:tcPr>
            <w:tcW w:w="15333" w:type="dxa"/>
            <w:gridSpan w:val="9"/>
            <w:shd w:val="clear" w:color="auto" w:fill="auto"/>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Не планируется</w:t>
            </w:r>
          </w:p>
        </w:tc>
      </w:tr>
      <w:tr w:rsidR="00171D1D" w:rsidRPr="00592BA7" w:rsidTr="00592BA7">
        <w:trPr>
          <w:trHeight w:val="20"/>
        </w:trPr>
        <w:tc>
          <w:tcPr>
            <w:tcW w:w="15333" w:type="dxa"/>
            <w:gridSpan w:val="9"/>
            <w:shd w:val="clear" w:color="auto" w:fill="auto"/>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Обращение с ТКО</w:t>
            </w:r>
          </w:p>
        </w:tc>
      </w:tr>
      <w:tr w:rsidR="00171D1D" w:rsidRPr="00592BA7" w:rsidTr="00592BA7">
        <w:trPr>
          <w:trHeight w:val="20"/>
        </w:trPr>
        <w:tc>
          <w:tcPr>
            <w:tcW w:w="15333" w:type="dxa"/>
            <w:gridSpan w:val="9"/>
            <w:shd w:val="clear" w:color="auto" w:fill="auto"/>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Группа 1. Строительство, модернизация или реконструкция объектов в системе обращения с ТКО</w:t>
            </w:r>
          </w:p>
        </w:tc>
      </w:tr>
      <w:tr w:rsidR="00171D1D" w:rsidRPr="00592BA7" w:rsidTr="00592BA7">
        <w:trPr>
          <w:trHeight w:val="20"/>
        </w:trPr>
        <w:tc>
          <w:tcPr>
            <w:tcW w:w="936"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1.1</w:t>
            </w:r>
          </w:p>
        </w:tc>
        <w:tc>
          <w:tcPr>
            <w:tcW w:w="3488"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Строительство мусороперегрузочной площадка с предварительной сортировкой</w:t>
            </w:r>
          </w:p>
        </w:tc>
        <w:tc>
          <w:tcPr>
            <w:tcW w:w="2399"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СТП Чувашской Республики</w:t>
            </w:r>
          </w:p>
        </w:tc>
        <w:tc>
          <w:tcPr>
            <w:tcW w:w="2129"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д. Шумерля</w:t>
            </w:r>
          </w:p>
        </w:tc>
        <w:tc>
          <w:tcPr>
            <w:tcW w:w="2276"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Накопление, хранение сортировка отходов</w:t>
            </w:r>
          </w:p>
        </w:tc>
        <w:tc>
          <w:tcPr>
            <w:tcW w:w="1701"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30000 тонн/год</w:t>
            </w:r>
          </w:p>
        </w:tc>
        <w:tc>
          <w:tcPr>
            <w:tcW w:w="988" w:type="dxa"/>
            <w:gridSpan w:val="2"/>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2034</w:t>
            </w:r>
          </w:p>
        </w:tc>
        <w:tc>
          <w:tcPr>
            <w:tcW w:w="1416"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2034</w:t>
            </w:r>
          </w:p>
        </w:tc>
      </w:tr>
      <w:tr w:rsidR="00171D1D" w:rsidRPr="00592BA7" w:rsidTr="00592BA7">
        <w:trPr>
          <w:trHeight w:val="20"/>
        </w:trPr>
        <w:tc>
          <w:tcPr>
            <w:tcW w:w="15333" w:type="dxa"/>
            <w:gridSpan w:val="9"/>
            <w:shd w:val="clear" w:color="auto" w:fill="auto"/>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Группа 2. Вывод из эксплуатации, консервация и демонтаж объектов в системе обращения с ТКО</w:t>
            </w:r>
          </w:p>
        </w:tc>
      </w:tr>
      <w:tr w:rsidR="00171D1D" w:rsidRPr="00592BA7" w:rsidTr="00592BA7">
        <w:trPr>
          <w:trHeight w:val="20"/>
        </w:trPr>
        <w:tc>
          <w:tcPr>
            <w:tcW w:w="15333" w:type="dxa"/>
            <w:gridSpan w:val="9"/>
            <w:shd w:val="clear" w:color="auto" w:fill="auto"/>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Не планируется</w:t>
            </w:r>
          </w:p>
        </w:tc>
      </w:tr>
    </w:tbl>
    <w:p w:rsidR="00171D1D" w:rsidRPr="00592BA7" w:rsidRDefault="00171D1D" w:rsidP="00592BA7">
      <w:pPr>
        <w:jc w:val="both"/>
        <w:rPr>
          <w:rFonts w:ascii="Times New Roman" w:hAnsi="Times New Roman" w:cs="Times New Roman"/>
          <w:sz w:val="20"/>
          <w:szCs w:val="20"/>
        </w:rPr>
        <w:sectPr w:rsidR="00171D1D" w:rsidRPr="00592BA7" w:rsidSect="00592BA7">
          <w:pgSz w:w="16838" w:h="11906" w:orient="landscape"/>
          <w:pgMar w:top="1418" w:right="1134" w:bottom="851" w:left="1134" w:header="709" w:footer="459" w:gutter="0"/>
          <w:cols w:space="708"/>
          <w:titlePg/>
          <w:docGrid w:linePitch="360"/>
        </w:sectPr>
      </w:pP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Раздел 13 Финансовые потребности для реализации программы</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13.1. Совокупные потребности в капитальных вложениях для реализации всей программы инвестиционных проектов</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План мероприятий и финансовые потребности для реализации инвестиционных проектов представлены в таблице ниже.</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Совокупные финансовые потребности на период реализации Программы составляют 22,5 млн. руб.</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Объемы финансирования инвестиций по проектам Программы определены в ценах отчетного года, носят оценочный характер и подлежат ежегодному уточнению, исходя из возможностей бюджетов и степени реализации мероприятий.</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Финансовое обеспечение программных инвестиционных проектов может осуществляться в том числе, за счет средств бюджетов всех уровней.</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 целью уменьшения нагрузки на бюджет, повышения эффективности и темпов реализации мероприятий источники финансирования для их реализации определены исходя из следующих соображений:</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r w:rsidRPr="00592BA7">
        <w:rPr>
          <w:rFonts w:ascii="Times New Roman" w:hAnsi="Times New Roman" w:cs="Times New Roman"/>
          <w:sz w:val="20"/>
          <w:szCs w:val="20"/>
        </w:rPr>
        <w:tab/>
        <w:t>для финансирования мероприятий в сфере водоснабжения и водоотведения рекомендуется использование собственных средств предприятия, местный бюджет и бюджет Чувашской Республики;</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r w:rsidRPr="00592BA7">
        <w:rPr>
          <w:rFonts w:ascii="Times New Roman" w:hAnsi="Times New Roman" w:cs="Times New Roman"/>
          <w:sz w:val="20"/>
          <w:szCs w:val="20"/>
        </w:rPr>
        <w:tab/>
        <w:t>для финансирования мероприятий в сфере электроснабжения рекомендуется использование собственных средств предприятия;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r w:rsidRPr="00592BA7">
        <w:rPr>
          <w:rFonts w:ascii="Times New Roman" w:hAnsi="Times New Roman" w:cs="Times New Roman"/>
          <w:sz w:val="20"/>
          <w:szCs w:val="20"/>
        </w:rPr>
        <w:tab/>
        <w:t>для финансирования мероприятий в сфере теплоснабжения рекомендуется использование собственных средств предприятия, местный, местный бюджет и бюджет Чувашской Республики;</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r w:rsidRPr="00592BA7">
        <w:rPr>
          <w:rFonts w:ascii="Times New Roman" w:hAnsi="Times New Roman" w:cs="Times New Roman"/>
          <w:sz w:val="20"/>
          <w:szCs w:val="20"/>
        </w:rPr>
        <w:tab/>
        <w:t>для финансирования мероприятий в сфере газоснабжения рекомендуется использование собственных средств предприятия;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r w:rsidRPr="00592BA7">
        <w:rPr>
          <w:rFonts w:ascii="Times New Roman" w:hAnsi="Times New Roman" w:cs="Times New Roman"/>
          <w:sz w:val="20"/>
          <w:szCs w:val="20"/>
        </w:rPr>
        <w:tab/>
        <w:t>для финансирования мероприятий в сфере обращения с ТКО рекомендуется использование собственных средств предприятия, местный бюджет и бюджет Чувашской Республики.</w:t>
      </w:r>
    </w:p>
    <w:p w:rsidR="00171D1D" w:rsidRPr="00592BA7" w:rsidRDefault="00171D1D" w:rsidP="00592BA7">
      <w:pPr>
        <w:jc w:val="both"/>
        <w:rPr>
          <w:rFonts w:ascii="Times New Roman" w:hAnsi="Times New Roman" w:cs="Times New Roman"/>
          <w:sz w:val="20"/>
          <w:szCs w:val="20"/>
        </w:rPr>
      </w:pP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br w:type="page"/>
      </w:r>
    </w:p>
    <w:p w:rsidR="00171D1D" w:rsidRPr="00592BA7" w:rsidRDefault="00171D1D" w:rsidP="00592BA7">
      <w:pPr>
        <w:jc w:val="both"/>
        <w:rPr>
          <w:rFonts w:ascii="Times New Roman" w:hAnsi="Times New Roman" w:cs="Times New Roman"/>
          <w:sz w:val="20"/>
          <w:szCs w:val="20"/>
        </w:rPr>
        <w:sectPr w:rsidR="00171D1D" w:rsidRPr="00592BA7" w:rsidSect="00592BA7">
          <w:pgSz w:w="11906" w:h="16838"/>
          <w:pgMar w:top="1134" w:right="851" w:bottom="1134" w:left="1418" w:header="709" w:footer="459" w:gutter="0"/>
          <w:cols w:space="708"/>
          <w:titlePg/>
          <w:docGrid w:linePitch="360"/>
        </w:sectPr>
      </w:pP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Таблица 13.1.1</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План мероприятий и финансовые потребности</w:t>
      </w:r>
    </w:p>
    <w:tbl>
      <w:tblPr>
        <w:tblW w:w="15906"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4"/>
        <w:gridCol w:w="2396"/>
        <w:gridCol w:w="15"/>
        <w:gridCol w:w="1400"/>
        <w:gridCol w:w="11"/>
        <w:gridCol w:w="1283"/>
        <w:gridCol w:w="61"/>
        <w:gridCol w:w="61"/>
        <w:gridCol w:w="1246"/>
        <w:gridCol w:w="29"/>
        <w:gridCol w:w="20"/>
        <w:gridCol w:w="676"/>
        <w:gridCol w:w="11"/>
        <w:gridCol w:w="22"/>
        <w:gridCol w:w="686"/>
        <w:gridCol w:w="6"/>
        <w:gridCol w:w="18"/>
        <w:gridCol w:w="685"/>
        <w:gridCol w:w="23"/>
        <w:gridCol w:w="544"/>
        <w:gridCol w:w="17"/>
        <w:gridCol w:w="6"/>
        <w:gridCol w:w="23"/>
        <w:gridCol w:w="526"/>
        <w:gridCol w:w="18"/>
        <w:gridCol w:w="47"/>
        <w:gridCol w:w="506"/>
        <w:gridCol w:w="14"/>
        <w:gridCol w:w="529"/>
        <w:gridCol w:w="13"/>
        <w:gridCol w:w="15"/>
        <w:gridCol w:w="10"/>
        <w:gridCol w:w="567"/>
        <w:gridCol w:w="698"/>
        <w:gridCol w:w="11"/>
        <w:gridCol w:w="697"/>
        <w:gridCol w:w="12"/>
        <w:gridCol w:w="982"/>
        <w:gridCol w:w="10"/>
        <w:gridCol w:w="567"/>
        <w:gridCol w:w="851"/>
      </w:tblGrid>
      <w:tr w:rsidR="00171D1D" w:rsidRPr="00592BA7" w:rsidTr="00592BA7">
        <w:trPr>
          <w:trHeight w:val="20"/>
          <w:tblHeader/>
        </w:trPr>
        <w:tc>
          <w:tcPr>
            <w:tcW w:w="594" w:type="dxa"/>
            <w:vMerge w:val="restart"/>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п/п</w:t>
            </w:r>
          </w:p>
        </w:tc>
        <w:tc>
          <w:tcPr>
            <w:tcW w:w="2396" w:type="dxa"/>
            <w:vMerge w:val="restart"/>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Наименование и краткое описание мероприятия (объекта)</w:t>
            </w:r>
          </w:p>
        </w:tc>
        <w:tc>
          <w:tcPr>
            <w:tcW w:w="1415" w:type="dxa"/>
            <w:gridSpan w:val="2"/>
            <w:vMerge w:val="restart"/>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Обоснование необходимости мероприятия (объекта)</w:t>
            </w:r>
          </w:p>
        </w:tc>
        <w:tc>
          <w:tcPr>
            <w:tcW w:w="1416" w:type="dxa"/>
            <w:gridSpan w:val="4"/>
            <w:vMerge w:val="restart"/>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Описание и место расположения мероприятия (объекта) с указанием точки подключения</w:t>
            </w:r>
          </w:p>
        </w:tc>
        <w:tc>
          <w:tcPr>
            <w:tcW w:w="1275" w:type="dxa"/>
            <w:gridSpan w:val="2"/>
            <w:vMerge w:val="restart"/>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Технические характеристики (протяженность, диаметр, мощность и тд)</w:t>
            </w:r>
          </w:p>
        </w:tc>
        <w:tc>
          <w:tcPr>
            <w:tcW w:w="707" w:type="dxa"/>
            <w:gridSpan w:val="3"/>
            <w:vMerge w:val="restart"/>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Значе-ние показа-теля</w:t>
            </w:r>
          </w:p>
        </w:tc>
        <w:tc>
          <w:tcPr>
            <w:tcW w:w="1417" w:type="dxa"/>
            <w:gridSpan w:val="5"/>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График реализации мероприятия (объекта)</w:t>
            </w:r>
          </w:p>
        </w:tc>
        <w:tc>
          <w:tcPr>
            <w:tcW w:w="3556" w:type="dxa"/>
            <w:gridSpan w:val="16"/>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Расходы на реализацию мероприятий в прогнозных ценах, млн. руб. (без НДС)</w:t>
            </w:r>
          </w:p>
        </w:tc>
        <w:tc>
          <w:tcPr>
            <w:tcW w:w="708" w:type="dxa"/>
            <w:gridSpan w:val="2"/>
            <w:vMerge w:val="restart"/>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График ввода объекта в эксплуатацию, год</w:t>
            </w:r>
          </w:p>
        </w:tc>
        <w:tc>
          <w:tcPr>
            <w:tcW w:w="994" w:type="dxa"/>
            <w:gridSpan w:val="2"/>
            <w:vMerge w:val="restart"/>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Размер расходов на реализацию мероприятия (объекта) млн. руб. без учета налога на прибыль, без НДС</w:t>
            </w:r>
          </w:p>
        </w:tc>
        <w:tc>
          <w:tcPr>
            <w:tcW w:w="577" w:type="dxa"/>
            <w:gridSpan w:val="2"/>
            <w:vMerge w:val="restart"/>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в тч. за счет платы за подклю</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чение</w:t>
            </w:r>
          </w:p>
        </w:tc>
        <w:tc>
          <w:tcPr>
            <w:tcW w:w="851" w:type="dxa"/>
            <w:vMerge w:val="restart"/>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Источник финансирования</w:t>
            </w:r>
          </w:p>
        </w:tc>
      </w:tr>
      <w:tr w:rsidR="00171D1D" w:rsidRPr="00592BA7" w:rsidTr="00592BA7">
        <w:trPr>
          <w:trHeight w:val="20"/>
          <w:tblHeader/>
        </w:trPr>
        <w:tc>
          <w:tcPr>
            <w:tcW w:w="594" w:type="dxa"/>
            <w:vMerge/>
            <w:vAlign w:val="center"/>
            <w:hideMark/>
          </w:tcPr>
          <w:p w:rsidR="00171D1D" w:rsidRPr="00592BA7" w:rsidRDefault="00171D1D" w:rsidP="00592BA7">
            <w:pPr>
              <w:jc w:val="both"/>
              <w:rPr>
                <w:rFonts w:ascii="Times New Roman" w:hAnsi="Times New Roman" w:cs="Times New Roman"/>
                <w:sz w:val="20"/>
                <w:szCs w:val="20"/>
              </w:rPr>
            </w:pPr>
          </w:p>
        </w:tc>
        <w:tc>
          <w:tcPr>
            <w:tcW w:w="2396" w:type="dxa"/>
            <w:vMerge/>
            <w:vAlign w:val="center"/>
            <w:hideMark/>
          </w:tcPr>
          <w:p w:rsidR="00171D1D" w:rsidRPr="00592BA7" w:rsidRDefault="00171D1D" w:rsidP="00592BA7">
            <w:pPr>
              <w:jc w:val="both"/>
              <w:rPr>
                <w:rFonts w:ascii="Times New Roman" w:hAnsi="Times New Roman" w:cs="Times New Roman"/>
                <w:sz w:val="20"/>
                <w:szCs w:val="20"/>
              </w:rPr>
            </w:pPr>
          </w:p>
        </w:tc>
        <w:tc>
          <w:tcPr>
            <w:tcW w:w="1415" w:type="dxa"/>
            <w:gridSpan w:val="2"/>
            <w:vMerge/>
            <w:vAlign w:val="center"/>
            <w:hideMark/>
          </w:tcPr>
          <w:p w:rsidR="00171D1D" w:rsidRPr="00592BA7" w:rsidRDefault="00171D1D" w:rsidP="00592BA7">
            <w:pPr>
              <w:jc w:val="both"/>
              <w:rPr>
                <w:rFonts w:ascii="Times New Roman" w:hAnsi="Times New Roman" w:cs="Times New Roman"/>
                <w:sz w:val="20"/>
                <w:szCs w:val="20"/>
              </w:rPr>
            </w:pPr>
          </w:p>
        </w:tc>
        <w:tc>
          <w:tcPr>
            <w:tcW w:w="1416" w:type="dxa"/>
            <w:gridSpan w:val="4"/>
            <w:vMerge/>
            <w:vAlign w:val="center"/>
            <w:hideMark/>
          </w:tcPr>
          <w:p w:rsidR="00171D1D" w:rsidRPr="00592BA7" w:rsidRDefault="00171D1D" w:rsidP="00592BA7">
            <w:pPr>
              <w:jc w:val="both"/>
              <w:rPr>
                <w:rFonts w:ascii="Times New Roman" w:hAnsi="Times New Roman" w:cs="Times New Roman"/>
                <w:sz w:val="20"/>
                <w:szCs w:val="20"/>
              </w:rPr>
            </w:pPr>
          </w:p>
        </w:tc>
        <w:tc>
          <w:tcPr>
            <w:tcW w:w="1275" w:type="dxa"/>
            <w:gridSpan w:val="2"/>
            <w:vMerge/>
            <w:vAlign w:val="center"/>
            <w:hideMark/>
          </w:tcPr>
          <w:p w:rsidR="00171D1D" w:rsidRPr="00592BA7" w:rsidRDefault="00171D1D" w:rsidP="00592BA7">
            <w:pPr>
              <w:jc w:val="both"/>
              <w:rPr>
                <w:rFonts w:ascii="Times New Roman" w:hAnsi="Times New Roman" w:cs="Times New Roman"/>
                <w:sz w:val="20"/>
                <w:szCs w:val="20"/>
              </w:rPr>
            </w:pPr>
          </w:p>
        </w:tc>
        <w:tc>
          <w:tcPr>
            <w:tcW w:w="707" w:type="dxa"/>
            <w:gridSpan w:val="3"/>
            <w:vMerge/>
            <w:vAlign w:val="center"/>
            <w:hideMark/>
          </w:tcPr>
          <w:p w:rsidR="00171D1D" w:rsidRPr="00592BA7" w:rsidRDefault="00171D1D" w:rsidP="00592BA7">
            <w:pPr>
              <w:jc w:val="both"/>
              <w:rPr>
                <w:rFonts w:ascii="Times New Roman" w:hAnsi="Times New Roman" w:cs="Times New Roman"/>
                <w:sz w:val="20"/>
                <w:szCs w:val="20"/>
              </w:rPr>
            </w:pPr>
          </w:p>
        </w:tc>
        <w:tc>
          <w:tcPr>
            <w:tcW w:w="708" w:type="dxa"/>
            <w:gridSpan w:val="2"/>
            <w:vMerge w:val="restart"/>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Год начала </w:t>
            </w:r>
          </w:p>
        </w:tc>
        <w:tc>
          <w:tcPr>
            <w:tcW w:w="709" w:type="dxa"/>
            <w:gridSpan w:val="3"/>
            <w:vMerge w:val="restart"/>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Год завер-шения</w:t>
            </w:r>
          </w:p>
        </w:tc>
        <w:tc>
          <w:tcPr>
            <w:tcW w:w="2858" w:type="dxa"/>
            <w:gridSpan w:val="15"/>
            <w:shd w:val="clear" w:color="auto" w:fill="auto"/>
            <w:noWrap/>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 этап</w:t>
            </w:r>
          </w:p>
        </w:tc>
        <w:tc>
          <w:tcPr>
            <w:tcW w:w="698" w:type="dxa"/>
            <w:shd w:val="clear" w:color="auto" w:fill="auto"/>
            <w:noWrap/>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 этап</w:t>
            </w:r>
          </w:p>
        </w:tc>
        <w:tc>
          <w:tcPr>
            <w:tcW w:w="708" w:type="dxa"/>
            <w:gridSpan w:val="2"/>
            <w:vMerge/>
            <w:vAlign w:val="center"/>
            <w:hideMark/>
          </w:tcPr>
          <w:p w:rsidR="00171D1D" w:rsidRPr="00592BA7" w:rsidRDefault="00171D1D" w:rsidP="00592BA7">
            <w:pPr>
              <w:jc w:val="both"/>
              <w:rPr>
                <w:rFonts w:ascii="Times New Roman" w:hAnsi="Times New Roman" w:cs="Times New Roman"/>
                <w:sz w:val="20"/>
                <w:szCs w:val="20"/>
              </w:rPr>
            </w:pPr>
          </w:p>
        </w:tc>
        <w:tc>
          <w:tcPr>
            <w:tcW w:w="994" w:type="dxa"/>
            <w:gridSpan w:val="2"/>
            <w:vMerge/>
            <w:vAlign w:val="center"/>
            <w:hideMark/>
          </w:tcPr>
          <w:p w:rsidR="00171D1D" w:rsidRPr="00592BA7" w:rsidRDefault="00171D1D" w:rsidP="00592BA7">
            <w:pPr>
              <w:jc w:val="both"/>
              <w:rPr>
                <w:rFonts w:ascii="Times New Roman" w:hAnsi="Times New Roman" w:cs="Times New Roman"/>
                <w:sz w:val="20"/>
                <w:szCs w:val="20"/>
              </w:rPr>
            </w:pPr>
          </w:p>
        </w:tc>
        <w:tc>
          <w:tcPr>
            <w:tcW w:w="577" w:type="dxa"/>
            <w:gridSpan w:val="2"/>
            <w:vMerge/>
            <w:vAlign w:val="center"/>
            <w:hideMark/>
          </w:tcPr>
          <w:p w:rsidR="00171D1D" w:rsidRPr="00592BA7" w:rsidRDefault="00171D1D" w:rsidP="00592BA7">
            <w:pPr>
              <w:jc w:val="both"/>
              <w:rPr>
                <w:rFonts w:ascii="Times New Roman" w:hAnsi="Times New Roman" w:cs="Times New Roman"/>
                <w:sz w:val="20"/>
                <w:szCs w:val="20"/>
              </w:rPr>
            </w:pPr>
          </w:p>
        </w:tc>
        <w:tc>
          <w:tcPr>
            <w:tcW w:w="851" w:type="dxa"/>
            <w:vMerge/>
            <w:vAlign w:val="center"/>
            <w:hideMark/>
          </w:tcPr>
          <w:p w:rsidR="00171D1D" w:rsidRPr="00592BA7" w:rsidRDefault="00171D1D" w:rsidP="00592BA7">
            <w:pPr>
              <w:jc w:val="both"/>
              <w:rPr>
                <w:rFonts w:ascii="Times New Roman" w:hAnsi="Times New Roman" w:cs="Times New Roman"/>
                <w:sz w:val="20"/>
                <w:szCs w:val="20"/>
              </w:rPr>
            </w:pPr>
          </w:p>
        </w:tc>
      </w:tr>
      <w:tr w:rsidR="00171D1D" w:rsidRPr="00592BA7" w:rsidTr="00592BA7">
        <w:trPr>
          <w:trHeight w:val="20"/>
          <w:tblHeader/>
        </w:trPr>
        <w:tc>
          <w:tcPr>
            <w:tcW w:w="594" w:type="dxa"/>
            <w:vMerge/>
            <w:vAlign w:val="center"/>
            <w:hideMark/>
          </w:tcPr>
          <w:p w:rsidR="00171D1D" w:rsidRPr="00592BA7" w:rsidRDefault="00171D1D" w:rsidP="00592BA7">
            <w:pPr>
              <w:jc w:val="both"/>
              <w:rPr>
                <w:rFonts w:ascii="Times New Roman" w:hAnsi="Times New Roman" w:cs="Times New Roman"/>
                <w:sz w:val="20"/>
                <w:szCs w:val="20"/>
              </w:rPr>
            </w:pPr>
          </w:p>
        </w:tc>
        <w:tc>
          <w:tcPr>
            <w:tcW w:w="2396" w:type="dxa"/>
            <w:vMerge/>
            <w:vAlign w:val="center"/>
            <w:hideMark/>
          </w:tcPr>
          <w:p w:rsidR="00171D1D" w:rsidRPr="00592BA7" w:rsidRDefault="00171D1D" w:rsidP="00592BA7">
            <w:pPr>
              <w:jc w:val="both"/>
              <w:rPr>
                <w:rFonts w:ascii="Times New Roman" w:hAnsi="Times New Roman" w:cs="Times New Roman"/>
                <w:sz w:val="20"/>
                <w:szCs w:val="20"/>
              </w:rPr>
            </w:pPr>
          </w:p>
        </w:tc>
        <w:tc>
          <w:tcPr>
            <w:tcW w:w="1415" w:type="dxa"/>
            <w:gridSpan w:val="2"/>
            <w:vMerge/>
            <w:vAlign w:val="center"/>
            <w:hideMark/>
          </w:tcPr>
          <w:p w:rsidR="00171D1D" w:rsidRPr="00592BA7" w:rsidRDefault="00171D1D" w:rsidP="00592BA7">
            <w:pPr>
              <w:jc w:val="both"/>
              <w:rPr>
                <w:rFonts w:ascii="Times New Roman" w:hAnsi="Times New Roman" w:cs="Times New Roman"/>
                <w:sz w:val="20"/>
                <w:szCs w:val="20"/>
              </w:rPr>
            </w:pPr>
          </w:p>
        </w:tc>
        <w:tc>
          <w:tcPr>
            <w:tcW w:w="1416" w:type="dxa"/>
            <w:gridSpan w:val="4"/>
            <w:vMerge/>
            <w:vAlign w:val="center"/>
            <w:hideMark/>
          </w:tcPr>
          <w:p w:rsidR="00171D1D" w:rsidRPr="00592BA7" w:rsidRDefault="00171D1D" w:rsidP="00592BA7">
            <w:pPr>
              <w:jc w:val="both"/>
              <w:rPr>
                <w:rFonts w:ascii="Times New Roman" w:hAnsi="Times New Roman" w:cs="Times New Roman"/>
                <w:sz w:val="20"/>
                <w:szCs w:val="20"/>
              </w:rPr>
            </w:pPr>
          </w:p>
        </w:tc>
        <w:tc>
          <w:tcPr>
            <w:tcW w:w="1275" w:type="dxa"/>
            <w:gridSpan w:val="2"/>
            <w:vMerge/>
            <w:vAlign w:val="center"/>
            <w:hideMark/>
          </w:tcPr>
          <w:p w:rsidR="00171D1D" w:rsidRPr="00592BA7" w:rsidRDefault="00171D1D" w:rsidP="00592BA7">
            <w:pPr>
              <w:jc w:val="both"/>
              <w:rPr>
                <w:rFonts w:ascii="Times New Roman" w:hAnsi="Times New Roman" w:cs="Times New Roman"/>
                <w:sz w:val="20"/>
                <w:szCs w:val="20"/>
              </w:rPr>
            </w:pPr>
          </w:p>
        </w:tc>
        <w:tc>
          <w:tcPr>
            <w:tcW w:w="707" w:type="dxa"/>
            <w:gridSpan w:val="3"/>
            <w:vMerge/>
            <w:vAlign w:val="center"/>
            <w:hideMark/>
          </w:tcPr>
          <w:p w:rsidR="00171D1D" w:rsidRPr="00592BA7" w:rsidRDefault="00171D1D" w:rsidP="00592BA7">
            <w:pPr>
              <w:jc w:val="both"/>
              <w:rPr>
                <w:rFonts w:ascii="Times New Roman" w:hAnsi="Times New Roman" w:cs="Times New Roman"/>
                <w:sz w:val="20"/>
                <w:szCs w:val="20"/>
              </w:rPr>
            </w:pPr>
          </w:p>
        </w:tc>
        <w:tc>
          <w:tcPr>
            <w:tcW w:w="708" w:type="dxa"/>
            <w:gridSpan w:val="2"/>
            <w:vMerge/>
            <w:vAlign w:val="center"/>
            <w:hideMark/>
          </w:tcPr>
          <w:p w:rsidR="00171D1D" w:rsidRPr="00592BA7" w:rsidRDefault="00171D1D" w:rsidP="00592BA7">
            <w:pPr>
              <w:jc w:val="both"/>
              <w:rPr>
                <w:rFonts w:ascii="Times New Roman" w:hAnsi="Times New Roman" w:cs="Times New Roman"/>
                <w:sz w:val="20"/>
                <w:szCs w:val="20"/>
              </w:rPr>
            </w:pPr>
          </w:p>
        </w:tc>
        <w:tc>
          <w:tcPr>
            <w:tcW w:w="709" w:type="dxa"/>
            <w:gridSpan w:val="3"/>
            <w:vMerge/>
            <w:vAlign w:val="center"/>
            <w:hideMark/>
          </w:tcPr>
          <w:p w:rsidR="00171D1D" w:rsidRPr="00592BA7" w:rsidRDefault="00171D1D" w:rsidP="00592BA7">
            <w:pPr>
              <w:jc w:val="both"/>
              <w:rPr>
                <w:rFonts w:ascii="Times New Roman" w:hAnsi="Times New Roman" w:cs="Times New Roman"/>
                <w:sz w:val="20"/>
                <w:szCs w:val="20"/>
              </w:rPr>
            </w:pPr>
          </w:p>
        </w:tc>
        <w:tc>
          <w:tcPr>
            <w:tcW w:w="567" w:type="dxa"/>
            <w:gridSpan w:val="2"/>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2024 год</w:t>
            </w:r>
          </w:p>
        </w:tc>
        <w:tc>
          <w:tcPr>
            <w:tcW w:w="572" w:type="dxa"/>
            <w:gridSpan w:val="4"/>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2025</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год</w:t>
            </w:r>
          </w:p>
        </w:tc>
        <w:tc>
          <w:tcPr>
            <w:tcW w:w="571" w:type="dxa"/>
            <w:gridSpan w:val="3"/>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2026 год</w:t>
            </w:r>
          </w:p>
        </w:tc>
        <w:tc>
          <w:tcPr>
            <w:tcW w:w="571" w:type="dxa"/>
            <w:gridSpan w:val="4"/>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2027 год</w:t>
            </w:r>
          </w:p>
        </w:tc>
        <w:tc>
          <w:tcPr>
            <w:tcW w:w="577" w:type="dxa"/>
            <w:gridSpan w:val="2"/>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2028 год</w:t>
            </w:r>
          </w:p>
        </w:tc>
        <w:tc>
          <w:tcPr>
            <w:tcW w:w="698" w:type="dxa"/>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2029-2034 годы</w:t>
            </w:r>
          </w:p>
        </w:tc>
        <w:tc>
          <w:tcPr>
            <w:tcW w:w="708" w:type="dxa"/>
            <w:gridSpan w:val="2"/>
            <w:vMerge/>
            <w:vAlign w:val="center"/>
            <w:hideMark/>
          </w:tcPr>
          <w:p w:rsidR="00171D1D" w:rsidRPr="00592BA7" w:rsidRDefault="00171D1D" w:rsidP="00592BA7">
            <w:pPr>
              <w:jc w:val="both"/>
              <w:rPr>
                <w:rFonts w:ascii="Times New Roman" w:hAnsi="Times New Roman" w:cs="Times New Roman"/>
                <w:sz w:val="20"/>
                <w:szCs w:val="20"/>
              </w:rPr>
            </w:pPr>
          </w:p>
        </w:tc>
        <w:tc>
          <w:tcPr>
            <w:tcW w:w="994" w:type="dxa"/>
            <w:gridSpan w:val="2"/>
            <w:vMerge/>
            <w:vAlign w:val="center"/>
            <w:hideMark/>
          </w:tcPr>
          <w:p w:rsidR="00171D1D" w:rsidRPr="00592BA7" w:rsidRDefault="00171D1D" w:rsidP="00592BA7">
            <w:pPr>
              <w:jc w:val="both"/>
              <w:rPr>
                <w:rFonts w:ascii="Times New Roman" w:hAnsi="Times New Roman" w:cs="Times New Roman"/>
                <w:sz w:val="20"/>
                <w:szCs w:val="20"/>
              </w:rPr>
            </w:pPr>
          </w:p>
        </w:tc>
        <w:tc>
          <w:tcPr>
            <w:tcW w:w="577" w:type="dxa"/>
            <w:gridSpan w:val="2"/>
            <w:vMerge/>
            <w:vAlign w:val="center"/>
            <w:hideMark/>
          </w:tcPr>
          <w:p w:rsidR="00171D1D" w:rsidRPr="00592BA7" w:rsidRDefault="00171D1D" w:rsidP="00592BA7">
            <w:pPr>
              <w:jc w:val="both"/>
              <w:rPr>
                <w:rFonts w:ascii="Times New Roman" w:hAnsi="Times New Roman" w:cs="Times New Roman"/>
                <w:sz w:val="20"/>
                <w:szCs w:val="20"/>
              </w:rPr>
            </w:pPr>
          </w:p>
        </w:tc>
        <w:tc>
          <w:tcPr>
            <w:tcW w:w="851" w:type="dxa"/>
            <w:vMerge/>
            <w:vAlign w:val="center"/>
            <w:hideMark/>
          </w:tcPr>
          <w:p w:rsidR="00171D1D" w:rsidRPr="00592BA7" w:rsidRDefault="00171D1D" w:rsidP="00592BA7">
            <w:pPr>
              <w:jc w:val="both"/>
              <w:rPr>
                <w:rFonts w:ascii="Times New Roman" w:hAnsi="Times New Roman" w:cs="Times New Roman"/>
                <w:sz w:val="20"/>
                <w:szCs w:val="20"/>
              </w:rPr>
            </w:pPr>
          </w:p>
        </w:tc>
      </w:tr>
      <w:tr w:rsidR="00171D1D" w:rsidRPr="00592BA7" w:rsidTr="00592BA7">
        <w:trPr>
          <w:trHeight w:val="20"/>
        </w:trPr>
        <w:tc>
          <w:tcPr>
            <w:tcW w:w="15906" w:type="dxa"/>
            <w:gridSpan w:val="41"/>
            <w:shd w:val="clear" w:color="auto" w:fill="auto"/>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Система электроснабжения</w:t>
            </w:r>
          </w:p>
        </w:tc>
      </w:tr>
      <w:tr w:rsidR="00171D1D" w:rsidRPr="00592BA7" w:rsidTr="00592BA7">
        <w:trPr>
          <w:trHeight w:val="20"/>
        </w:trPr>
        <w:tc>
          <w:tcPr>
            <w:tcW w:w="15906" w:type="dxa"/>
            <w:gridSpan w:val="41"/>
            <w:shd w:val="clear" w:color="auto" w:fill="auto"/>
            <w:noWrap/>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Группа 1. Строительство, модернизация или реконструкция объектов централизованных систем электроснабжения в целях подключения объектов капитального строительства абонентов</w:t>
            </w:r>
          </w:p>
        </w:tc>
      </w:tr>
      <w:tr w:rsidR="00171D1D" w:rsidRPr="00592BA7" w:rsidTr="00592BA7">
        <w:trPr>
          <w:trHeight w:val="20"/>
        </w:trPr>
        <w:tc>
          <w:tcPr>
            <w:tcW w:w="15906" w:type="dxa"/>
            <w:gridSpan w:val="41"/>
            <w:shd w:val="clear" w:color="auto" w:fill="auto"/>
            <w:noWrap/>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1.1. Строительство новых сетей электроснабжения в целях подключения объектов капитального строительства абонентов</w:t>
            </w:r>
          </w:p>
        </w:tc>
      </w:tr>
      <w:tr w:rsidR="00171D1D" w:rsidRPr="00592BA7" w:rsidTr="00592BA7">
        <w:trPr>
          <w:trHeight w:val="20"/>
        </w:trPr>
        <w:tc>
          <w:tcPr>
            <w:tcW w:w="15906" w:type="dxa"/>
            <w:gridSpan w:val="41"/>
            <w:shd w:val="clear" w:color="auto" w:fill="auto"/>
            <w:noWrap/>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Не планируется</w:t>
            </w:r>
          </w:p>
        </w:tc>
      </w:tr>
      <w:tr w:rsidR="00171D1D" w:rsidRPr="00592BA7" w:rsidTr="00592BA7">
        <w:trPr>
          <w:trHeight w:val="20"/>
        </w:trPr>
        <w:tc>
          <w:tcPr>
            <w:tcW w:w="15906" w:type="dxa"/>
            <w:gridSpan w:val="41"/>
            <w:shd w:val="clear" w:color="auto" w:fill="auto"/>
            <w:noWrap/>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1.2. Строительство иных объектов централизованных систем электроснабжения за исключением сетей электроснабжения</w:t>
            </w:r>
          </w:p>
        </w:tc>
      </w:tr>
      <w:tr w:rsidR="00171D1D" w:rsidRPr="00592BA7" w:rsidTr="00592BA7">
        <w:trPr>
          <w:trHeight w:val="20"/>
        </w:trPr>
        <w:tc>
          <w:tcPr>
            <w:tcW w:w="15906" w:type="dxa"/>
            <w:gridSpan w:val="41"/>
            <w:shd w:val="clear" w:color="auto" w:fill="auto"/>
            <w:noWrap/>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Не планируется</w:t>
            </w:r>
          </w:p>
        </w:tc>
      </w:tr>
      <w:tr w:rsidR="00171D1D" w:rsidRPr="00592BA7" w:rsidTr="00592BA7">
        <w:trPr>
          <w:trHeight w:val="20"/>
        </w:trPr>
        <w:tc>
          <w:tcPr>
            <w:tcW w:w="15906" w:type="dxa"/>
            <w:gridSpan w:val="41"/>
            <w:shd w:val="clear" w:color="auto" w:fill="auto"/>
            <w:noWrap/>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1.3. Увеличение пропускной способности существующих сетей электроснабжения в целях подключения объектов капитального строительства абонентов</w:t>
            </w:r>
          </w:p>
        </w:tc>
      </w:tr>
      <w:tr w:rsidR="00171D1D" w:rsidRPr="00592BA7" w:rsidTr="00592BA7">
        <w:trPr>
          <w:trHeight w:val="20"/>
        </w:trPr>
        <w:tc>
          <w:tcPr>
            <w:tcW w:w="15906" w:type="dxa"/>
            <w:gridSpan w:val="41"/>
            <w:shd w:val="clear" w:color="auto" w:fill="auto"/>
            <w:noWrap/>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Не планируется</w:t>
            </w:r>
          </w:p>
        </w:tc>
      </w:tr>
      <w:tr w:rsidR="00171D1D" w:rsidRPr="00592BA7" w:rsidTr="00592BA7">
        <w:trPr>
          <w:trHeight w:val="20"/>
        </w:trPr>
        <w:tc>
          <w:tcPr>
            <w:tcW w:w="15906" w:type="dxa"/>
            <w:gridSpan w:val="41"/>
            <w:shd w:val="clear" w:color="auto" w:fill="auto"/>
            <w:noWrap/>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1.4. Увеличение мощности и производительности существующих объектов централизованных систем электроснабжения, за исключением сетей электроснабжения </w:t>
            </w:r>
          </w:p>
        </w:tc>
      </w:tr>
      <w:tr w:rsidR="00171D1D" w:rsidRPr="00592BA7" w:rsidTr="00592BA7">
        <w:trPr>
          <w:trHeight w:val="20"/>
        </w:trPr>
        <w:tc>
          <w:tcPr>
            <w:tcW w:w="15906" w:type="dxa"/>
            <w:gridSpan w:val="41"/>
            <w:shd w:val="clear" w:color="auto" w:fill="auto"/>
            <w:noWrap/>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Не планируется</w:t>
            </w:r>
          </w:p>
        </w:tc>
      </w:tr>
      <w:tr w:rsidR="00171D1D" w:rsidRPr="00592BA7" w:rsidTr="00592BA7">
        <w:trPr>
          <w:trHeight w:val="20"/>
        </w:trPr>
        <w:tc>
          <w:tcPr>
            <w:tcW w:w="15906" w:type="dxa"/>
            <w:gridSpan w:val="41"/>
            <w:shd w:val="clear" w:color="auto" w:fill="auto"/>
            <w:noWrap/>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Группа 2. Строительство новых объектов централизованных систем электроснабжения не связанных с подключением новых объектов капитального строительства абонентов</w:t>
            </w:r>
          </w:p>
        </w:tc>
      </w:tr>
      <w:tr w:rsidR="00171D1D" w:rsidRPr="00592BA7" w:rsidTr="00592BA7">
        <w:trPr>
          <w:trHeight w:val="20"/>
        </w:trPr>
        <w:tc>
          <w:tcPr>
            <w:tcW w:w="15906" w:type="dxa"/>
            <w:gridSpan w:val="41"/>
            <w:shd w:val="clear" w:color="auto" w:fill="auto"/>
            <w:noWrap/>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2.1. Строительство новых сетей электроснабжения</w:t>
            </w:r>
          </w:p>
        </w:tc>
      </w:tr>
      <w:tr w:rsidR="00171D1D" w:rsidRPr="00592BA7" w:rsidTr="00592BA7">
        <w:trPr>
          <w:trHeight w:val="20"/>
        </w:trPr>
        <w:tc>
          <w:tcPr>
            <w:tcW w:w="15906" w:type="dxa"/>
            <w:gridSpan w:val="41"/>
            <w:shd w:val="clear" w:color="auto" w:fill="auto"/>
            <w:noWrap/>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Не планируется</w:t>
            </w:r>
          </w:p>
        </w:tc>
      </w:tr>
      <w:tr w:rsidR="00171D1D" w:rsidRPr="00592BA7" w:rsidTr="00592BA7">
        <w:trPr>
          <w:trHeight w:val="20"/>
        </w:trPr>
        <w:tc>
          <w:tcPr>
            <w:tcW w:w="15906" w:type="dxa"/>
            <w:gridSpan w:val="41"/>
            <w:shd w:val="clear" w:color="auto" w:fill="auto"/>
            <w:noWrap/>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2.2. Строительство иных объектов централизованных систем электроснабжения за исключением сетей электроснабжения</w:t>
            </w:r>
          </w:p>
        </w:tc>
      </w:tr>
      <w:tr w:rsidR="00171D1D" w:rsidRPr="00592BA7" w:rsidTr="00592BA7">
        <w:trPr>
          <w:trHeight w:val="20"/>
        </w:trPr>
        <w:tc>
          <w:tcPr>
            <w:tcW w:w="15906" w:type="dxa"/>
            <w:gridSpan w:val="41"/>
            <w:shd w:val="clear" w:color="auto" w:fill="auto"/>
            <w:noWrap/>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Не планируется</w:t>
            </w:r>
          </w:p>
        </w:tc>
      </w:tr>
      <w:tr w:rsidR="00171D1D" w:rsidRPr="00592BA7" w:rsidTr="00592BA7">
        <w:trPr>
          <w:trHeight w:val="20"/>
        </w:trPr>
        <w:tc>
          <w:tcPr>
            <w:tcW w:w="15906" w:type="dxa"/>
            <w:gridSpan w:val="41"/>
            <w:shd w:val="clear" w:color="auto" w:fill="auto"/>
            <w:noWrap/>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Группа 3. Модернизация или реконструкция существующих объектов централизованных систем электроснабжения в целях снижения уровня износа существующих объектов </w:t>
            </w:r>
          </w:p>
        </w:tc>
      </w:tr>
      <w:tr w:rsidR="00171D1D" w:rsidRPr="00592BA7" w:rsidTr="00592BA7">
        <w:trPr>
          <w:trHeight w:val="20"/>
        </w:trPr>
        <w:tc>
          <w:tcPr>
            <w:tcW w:w="15906" w:type="dxa"/>
            <w:gridSpan w:val="41"/>
            <w:shd w:val="clear" w:color="auto" w:fill="auto"/>
            <w:noWrap/>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3.1. Модернизация или реконструкция существующих сетей электроснабжения </w:t>
            </w:r>
          </w:p>
        </w:tc>
      </w:tr>
      <w:tr w:rsidR="00171D1D" w:rsidRPr="00592BA7" w:rsidTr="00592BA7">
        <w:trPr>
          <w:trHeight w:val="20"/>
        </w:trPr>
        <w:tc>
          <w:tcPr>
            <w:tcW w:w="15906" w:type="dxa"/>
            <w:gridSpan w:val="41"/>
            <w:shd w:val="clear" w:color="auto" w:fill="auto"/>
            <w:noWrap/>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Не планируется</w:t>
            </w:r>
          </w:p>
        </w:tc>
      </w:tr>
      <w:tr w:rsidR="00171D1D" w:rsidRPr="00592BA7" w:rsidTr="00592BA7">
        <w:trPr>
          <w:trHeight w:val="20"/>
        </w:trPr>
        <w:tc>
          <w:tcPr>
            <w:tcW w:w="15906" w:type="dxa"/>
            <w:gridSpan w:val="41"/>
            <w:shd w:val="clear" w:color="auto" w:fill="auto"/>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Группа 4. Мероприятия, направленные на повышение экологической эффективности, достижение плановых значений показателей надежности, качества и энергоэффективности объектов централизованных систем электроснабжения не включенные в прочие группы мероприятий</w:t>
            </w:r>
          </w:p>
        </w:tc>
      </w:tr>
      <w:tr w:rsidR="00171D1D" w:rsidRPr="00592BA7" w:rsidTr="00592BA7">
        <w:trPr>
          <w:trHeight w:val="20"/>
        </w:trPr>
        <w:tc>
          <w:tcPr>
            <w:tcW w:w="15906" w:type="dxa"/>
            <w:gridSpan w:val="41"/>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Не планируется</w:t>
            </w:r>
          </w:p>
        </w:tc>
      </w:tr>
      <w:tr w:rsidR="00171D1D" w:rsidRPr="00592BA7" w:rsidTr="00592BA7">
        <w:trPr>
          <w:trHeight w:val="20"/>
        </w:trPr>
        <w:tc>
          <w:tcPr>
            <w:tcW w:w="15906" w:type="dxa"/>
            <w:gridSpan w:val="41"/>
            <w:shd w:val="clear" w:color="auto" w:fill="auto"/>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Группа 5. Вывод из эксплуатации, консервация и демонтаж объектов централизованных систем электроснабжения </w:t>
            </w:r>
          </w:p>
        </w:tc>
      </w:tr>
      <w:tr w:rsidR="00171D1D" w:rsidRPr="00592BA7" w:rsidTr="00592BA7">
        <w:trPr>
          <w:trHeight w:val="20"/>
        </w:trPr>
        <w:tc>
          <w:tcPr>
            <w:tcW w:w="15906" w:type="dxa"/>
            <w:gridSpan w:val="41"/>
            <w:shd w:val="clear" w:color="auto" w:fill="auto"/>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5.1. Вывод из эксплуатации, консервация и демонтаж сетей электроснабжения </w:t>
            </w:r>
          </w:p>
        </w:tc>
      </w:tr>
      <w:tr w:rsidR="00171D1D" w:rsidRPr="00592BA7" w:rsidTr="00592BA7">
        <w:trPr>
          <w:trHeight w:val="20"/>
        </w:trPr>
        <w:tc>
          <w:tcPr>
            <w:tcW w:w="15906" w:type="dxa"/>
            <w:gridSpan w:val="41"/>
            <w:shd w:val="clear" w:color="auto" w:fill="auto"/>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Не планируется</w:t>
            </w:r>
          </w:p>
        </w:tc>
      </w:tr>
      <w:tr w:rsidR="00171D1D" w:rsidRPr="00592BA7" w:rsidTr="00592BA7">
        <w:trPr>
          <w:trHeight w:val="20"/>
        </w:trPr>
        <w:tc>
          <w:tcPr>
            <w:tcW w:w="15906" w:type="dxa"/>
            <w:gridSpan w:val="41"/>
            <w:shd w:val="clear" w:color="auto" w:fill="auto"/>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5.2. Вывод из эксплуатации, консервация и демонтаж иных объектов централизованных систем электроснабжения за исключением сетей электроснабжения </w:t>
            </w:r>
          </w:p>
        </w:tc>
      </w:tr>
      <w:tr w:rsidR="00171D1D" w:rsidRPr="00592BA7" w:rsidTr="00592BA7">
        <w:trPr>
          <w:trHeight w:val="20"/>
        </w:trPr>
        <w:tc>
          <w:tcPr>
            <w:tcW w:w="15906" w:type="dxa"/>
            <w:gridSpan w:val="41"/>
            <w:shd w:val="clear" w:color="auto" w:fill="auto"/>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Не планируется</w:t>
            </w:r>
          </w:p>
        </w:tc>
      </w:tr>
      <w:tr w:rsidR="00171D1D" w:rsidRPr="00592BA7" w:rsidTr="00592BA7">
        <w:trPr>
          <w:trHeight w:val="20"/>
        </w:trPr>
        <w:tc>
          <w:tcPr>
            <w:tcW w:w="15906" w:type="dxa"/>
            <w:gridSpan w:val="41"/>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Система теплоснабжения</w:t>
            </w:r>
          </w:p>
        </w:tc>
      </w:tr>
      <w:tr w:rsidR="00171D1D" w:rsidRPr="00592BA7" w:rsidTr="00592BA7">
        <w:trPr>
          <w:trHeight w:val="20"/>
        </w:trPr>
        <w:tc>
          <w:tcPr>
            <w:tcW w:w="15906" w:type="dxa"/>
            <w:gridSpan w:val="41"/>
            <w:shd w:val="clear" w:color="auto" w:fill="auto"/>
            <w:noWrap/>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Группа 1. Строительство, модернизация или реконструкция объектов централизованных систем теплоснабжения в целях подключения объектов капитального строительства </w:t>
            </w:r>
            <w:r w:rsidRPr="00592BA7">
              <w:rPr>
                <w:rFonts w:ascii="Times New Roman" w:hAnsi="Times New Roman" w:cs="Times New Roman"/>
                <w:sz w:val="20"/>
                <w:szCs w:val="20"/>
              </w:rPr>
              <w:lastRenderedPageBreak/>
              <w:t>абонентов</w:t>
            </w:r>
          </w:p>
        </w:tc>
      </w:tr>
      <w:tr w:rsidR="00171D1D" w:rsidRPr="00592BA7" w:rsidTr="00592BA7">
        <w:trPr>
          <w:trHeight w:val="20"/>
        </w:trPr>
        <w:tc>
          <w:tcPr>
            <w:tcW w:w="15906" w:type="dxa"/>
            <w:gridSpan w:val="41"/>
            <w:shd w:val="clear" w:color="auto" w:fill="auto"/>
            <w:noWrap/>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1.1. Строительство новых сетей теплоснабжения в целях подключения объектов капитального строительства абонентов</w:t>
            </w:r>
          </w:p>
        </w:tc>
      </w:tr>
      <w:tr w:rsidR="00171D1D" w:rsidRPr="00592BA7" w:rsidTr="00592BA7">
        <w:trPr>
          <w:trHeight w:val="20"/>
        </w:trPr>
        <w:tc>
          <w:tcPr>
            <w:tcW w:w="15906" w:type="dxa"/>
            <w:gridSpan w:val="41"/>
            <w:shd w:val="clear" w:color="auto" w:fill="auto"/>
            <w:noWrap/>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Не планируется</w:t>
            </w:r>
          </w:p>
        </w:tc>
      </w:tr>
      <w:tr w:rsidR="00171D1D" w:rsidRPr="00592BA7" w:rsidTr="00592BA7">
        <w:trPr>
          <w:trHeight w:val="20"/>
        </w:trPr>
        <w:tc>
          <w:tcPr>
            <w:tcW w:w="15906" w:type="dxa"/>
            <w:gridSpan w:val="41"/>
            <w:shd w:val="clear" w:color="auto" w:fill="auto"/>
            <w:noWrap/>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1.2. Строительство иных объектов централизованных систем теплоснабжения за исключением сетей теплоснабжения</w:t>
            </w:r>
          </w:p>
        </w:tc>
      </w:tr>
      <w:tr w:rsidR="00171D1D" w:rsidRPr="00592BA7" w:rsidTr="00592BA7">
        <w:trPr>
          <w:trHeight w:val="20"/>
        </w:trPr>
        <w:tc>
          <w:tcPr>
            <w:tcW w:w="15906" w:type="dxa"/>
            <w:gridSpan w:val="41"/>
            <w:shd w:val="clear" w:color="auto" w:fill="auto"/>
            <w:noWrap/>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Не планируется</w:t>
            </w:r>
          </w:p>
        </w:tc>
      </w:tr>
      <w:tr w:rsidR="00171D1D" w:rsidRPr="00592BA7" w:rsidTr="00592BA7">
        <w:trPr>
          <w:trHeight w:val="20"/>
        </w:trPr>
        <w:tc>
          <w:tcPr>
            <w:tcW w:w="15906" w:type="dxa"/>
            <w:gridSpan w:val="41"/>
            <w:shd w:val="clear" w:color="auto" w:fill="auto"/>
            <w:noWrap/>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1.3. Увеличение пропускной способности существующих сетей теплоснабжения в целях подключения объектов капитального строительства абонентов</w:t>
            </w:r>
          </w:p>
        </w:tc>
      </w:tr>
      <w:tr w:rsidR="00171D1D" w:rsidRPr="00592BA7" w:rsidTr="00592BA7">
        <w:trPr>
          <w:trHeight w:val="20"/>
        </w:trPr>
        <w:tc>
          <w:tcPr>
            <w:tcW w:w="15906" w:type="dxa"/>
            <w:gridSpan w:val="41"/>
            <w:shd w:val="clear" w:color="auto" w:fill="auto"/>
            <w:noWrap/>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Не планируется</w:t>
            </w:r>
          </w:p>
        </w:tc>
      </w:tr>
      <w:tr w:rsidR="00171D1D" w:rsidRPr="00592BA7" w:rsidTr="00592BA7">
        <w:trPr>
          <w:trHeight w:val="20"/>
        </w:trPr>
        <w:tc>
          <w:tcPr>
            <w:tcW w:w="15906" w:type="dxa"/>
            <w:gridSpan w:val="41"/>
            <w:shd w:val="clear" w:color="auto" w:fill="auto"/>
            <w:noWrap/>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1.4. Увеличение мощности и производительности существующих объектов централизованных систем теплоснабжения, за исключением сетей теплоснабжения </w:t>
            </w:r>
          </w:p>
        </w:tc>
      </w:tr>
      <w:tr w:rsidR="00171D1D" w:rsidRPr="00592BA7" w:rsidTr="00592BA7">
        <w:trPr>
          <w:trHeight w:val="20"/>
        </w:trPr>
        <w:tc>
          <w:tcPr>
            <w:tcW w:w="15906" w:type="dxa"/>
            <w:gridSpan w:val="41"/>
            <w:shd w:val="clear" w:color="auto" w:fill="auto"/>
            <w:noWrap/>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Не планируется</w:t>
            </w:r>
          </w:p>
        </w:tc>
      </w:tr>
      <w:tr w:rsidR="00171D1D" w:rsidRPr="00592BA7" w:rsidTr="00592BA7">
        <w:trPr>
          <w:trHeight w:val="20"/>
        </w:trPr>
        <w:tc>
          <w:tcPr>
            <w:tcW w:w="15906" w:type="dxa"/>
            <w:gridSpan w:val="41"/>
            <w:shd w:val="clear" w:color="auto" w:fill="auto"/>
            <w:noWrap/>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Группа 2. Строительство новых объектов централизованных систем теплоснабжения не связанных с подключением новых объектов капитального строительства абонентов</w:t>
            </w:r>
          </w:p>
        </w:tc>
      </w:tr>
      <w:tr w:rsidR="00171D1D" w:rsidRPr="00592BA7" w:rsidTr="00592BA7">
        <w:trPr>
          <w:trHeight w:val="20"/>
        </w:trPr>
        <w:tc>
          <w:tcPr>
            <w:tcW w:w="15906" w:type="dxa"/>
            <w:gridSpan w:val="41"/>
            <w:shd w:val="clear" w:color="auto" w:fill="auto"/>
            <w:noWrap/>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2.1. Строительство новых сетей теплоснабжения</w:t>
            </w:r>
          </w:p>
        </w:tc>
      </w:tr>
      <w:tr w:rsidR="00171D1D" w:rsidRPr="00592BA7" w:rsidTr="00592BA7">
        <w:trPr>
          <w:trHeight w:val="20"/>
        </w:trPr>
        <w:tc>
          <w:tcPr>
            <w:tcW w:w="15906" w:type="dxa"/>
            <w:gridSpan w:val="41"/>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Не планируется</w:t>
            </w:r>
          </w:p>
        </w:tc>
      </w:tr>
      <w:tr w:rsidR="00171D1D" w:rsidRPr="00592BA7" w:rsidTr="00592BA7">
        <w:trPr>
          <w:trHeight w:val="20"/>
        </w:trPr>
        <w:tc>
          <w:tcPr>
            <w:tcW w:w="15906" w:type="dxa"/>
            <w:gridSpan w:val="41"/>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2.2. Строительство иных объектов централизованных систем теплоснабжения за исключением сетей теплоснабжения</w:t>
            </w:r>
          </w:p>
        </w:tc>
      </w:tr>
      <w:tr w:rsidR="00171D1D" w:rsidRPr="00592BA7" w:rsidTr="00592BA7">
        <w:trPr>
          <w:trHeight w:val="20"/>
        </w:trPr>
        <w:tc>
          <w:tcPr>
            <w:tcW w:w="15906" w:type="dxa"/>
            <w:gridSpan w:val="41"/>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Не планируется</w:t>
            </w:r>
          </w:p>
        </w:tc>
      </w:tr>
      <w:tr w:rsidR="00171D1D" w:rsidRPr="00592BA7" w:rsidTr="00592BA7">
        <w:trPr>
          <w:trHeight w:val="20"/>
        </w:trPr>
        <w:tc>
          <w:tcPr>
            <w:tcW w:w="15906" w:type="dxa"/>
            <w:gridSpan w:val="41"/>
            <w:shd w:val="clear" w:color="auto" w:fill="auto"/>
            <w:noWrap/>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Группа 3. Модернизация или реконструкция существующих объектов централизованных систем теплоснабжения в целях снижения уровня износа существующих объектов </w:t>
            </w:r>
          </w:p>
        </w:tc>
      </w:tr>
      <w:tr w:rsidR="00171D1D" w:rsidRPr="00592BA7" w:rsidTr="00592BA7">
        <w:trPr>
          <w:trHeight w:val="20"/>
        </w:trPr>
        <w:tc>
          <w:tcPr>
            <w:tcW w:w="15906" w:type="dxa"/>
            <w:gridSpan w:val="41"/>
            <w:shd w:val="clear" w:color="auto" w:fill="auto"/>
            <w:noWrap/>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3.1. Модернизация или реконструкция существующих сетей теплоснабжения </w:t>
            </w:r>
          </w:p>
        </w:tc>
      </w:tr>
      <w:tr w:rsidR="00171D1D" w:rsidRPr="00592BA7" w:rsidTr="00592BA7">
        <w:trPr>
          <w:trHeight w:val="90"/>
        </w:trPr>
        <w:tc>
          <w:tcPr>
            <w:tcW w:w="594" w:type="dxa"/>
            <w:shd w:val="clear" w:color="auto" w:fill="auto"/>
            <w:noWrap/>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3.1.1</w:t>
            </w:r>
          </w:p>
        </w:tc>
        <w:tc>
          <w:tcPr>
            <w:tcW w:w="2396"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Замена ветхих тепловых сетей от котельных</w:t>
            </w:r>
          </w:p>
        </w:tc>
        <w:tc>
          <w:tcPr>
            <w:tcW w:w="1415" w:type="dxa"/>
            <w:gridSpan w:val="2"/>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В соответствии с Схемой теплоснабжения</w:t>
            </w:r>
          </w:p>
        </w:tc>
        <w:tc>
          <w:tcPr>
            <w:tcW w:w="1416" w:type="dxa"/>
            <w:gridSpan w:val="4"/>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Шумерлинский муниципальный округ</w:t>
            </w:r>
          </w:p>
        </w:tc>
        <w:tc>
          <w:tcPr>
            <w:tcW w:w="1275" w:type="dxa"/>
            <w:gridSpan w:val="2"/>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Протяженность, п.м.</w:t>
            </w:r>
          </w:p>
        </w:tc>
        <w:tc>
          <w:tcPr>
            <w:tcW w:w="707" w:type="dxa"/>
            <w:gridSpan w:val="3"/>
            <w:shd w:val="clear" w:color="auto" w:fill="auto"/>
            <w:noWrap/>
            <w:vAlign w:val="center"/>
          </w:tcPr>
          <w:p w:rsidR="00171D1D" w:rsidRPr="00592BA7" w:rsidRDefault="00171D1D" w:rsidP="00592BA7">
            <w:pPr>
              <w:jc w:val="both"/>
              <w:rPr>
                <w:rFonts w:ascii="Times New Roman" w:hAnsi="Times New Roman" w:cs="Times New Roman"/>
                <w:sz w:val="20"/>
                <w:szCs w:val="20"/>
              </w:rPr>
            </w:pPr>
          </w:p>
        </w:tc>
        <w:tc>
          <w:tcPr>
            <w:tcW w:w="708" w:type="dxa"/>
            <w:gridSpan w:val="2"/>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2024</w:t>
            </w:r>
          </w:p>
        </w:tc>
        <w:tc>
          <w:tcPr>
            <w:tcW w:w="709" w:type="dxa"/>
            <w:gridSpan w:val="3"/>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2032</w:t>
            </w:r>
          </w:p>
        </w:tc>
        <w:tc>
          <w:tcPr>
            <w:tcW w:w="567" w:type="dxa"/>
            <w:gridSpan w:val="2"/>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w:t>
            </w:r>
          </w:p>
        </w:tc>
        <w:tc>
          <w:tcPr>
            <w:tcW w:w="572" w:type="dxa"/>
            <w:gridSpan w:val="4"/>
            <w:shd w:val="clear" w:color="auto" w:fill="auto"/>
            <w:vAlign w:val="center"/>
          </w:tcPr>
          <w:p w:rsidR="00171D1D" w:rsidRPr="00592BA7" w:rsidRDefault="00171D1D" w:rsidP="00592BA7">
            <w:pPr>
              <w:jc w:val="both"/>
              <w:rPr>
                <w:rFonts w:ascii="Times New Roman" w:hAnsi="Times New Roman" w:cs="Times New Roman"/>
                <w:sz w:val="20"/>
                <w:szCs w:val="20"/>
              </w:rPr>
            </w:pPr>
          </w:p>
        </w:tc>
        <w:tc>
          <w:tcPr>
            <w:tcW w:w="571" w:type="dxa"/>
            <w:gridSpan w:val="3"/>
            <w:shd w:val="clear" w:color="auto" w:fill="auto"/>
            <w:vAlign w:val="center"/>
          </w:tcPr>
          <w:p w:rsidR="00171D1D" w:rsidRPr="00592BA7" w:rsidRDefault="00171D1D" w:rsidP="00592BA7">
            <w:pPr>
              <w:jc w:val="both"/>
              <w:rPr>
                <w:rFonts w:ascii="Times New Roman" w:hAnsi="Times New Roman" w:cs="Times New Roman"/>
                <w:sz w:val="20"/>
                <w:szCs w:val="20"/>
              </w:rPr>
            </w:pPr>
          </w:p>
        </w:tc>
        <w:tc>
          <w:tcPr>
            <w:tcW w:w="571" w:type="dxa"/>
            <w:gridSpan w:val="4"/>
            <w:shd w:val="clear" w:color="auto" w:fill="auto"/>
            <w:vAlign w:val="center"/>
          </w:tcPr>
          <w:p w:rsidR="00171D1D" w:rsidRPr="00592BA7" w:rsidRDefault="00171D1D" w:rsidP="00592BA7">
            <w:pPr>
              <w:jc w:val="both"/>
              <w:rPr>
                <w:rFonts w:ascii="Times New Roman" w:hAnsi="Times New Roman" w:cs="Times New Roman"/>
                <w:sz w:val="20"/>
                <w:szCs w:val="20"/>
              </w:rPr>
            </w:pPr>
          </w:p>
        </w:tc>
        <w:tc>
          <w:tcPr>
            <w:tcW w:w="577" w:type="dxa"/>
            <w:gridSpan w:val="2"/>
            <w:shd w:val="clear" w:color="auto" w:fill="auto"/>
            <w:vAlign w:val="center"/>
          </w:tcPr>
          <w:p w:rsidR="00171D1D" w:rsidRPr="00592BA7" w:rsidRDefault="00171D1D" w:rsidP="00592BA7">
            <w:pPr>
              <w:jc w:val="both"/>
              <w:rPr>
                <w:rFonts w:ascii="Times New Roman" w:hAnsi="Times New Roman" w:cs="Times New Roman"/>
                <w:sz w:val="20"/>
                <w:szCs w:val="20"/>
              </w:rPr>
            </w:pPr>
          </w:p>
        </w:tc>
        <w:tc>
          <w:tcPr>
            <w:tcW w:w="698"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w:t>
            </w:r>
          </w:p>
        </w:tc>
        <w:tc>
          <w:tcPr>
            <w:tcW w:w="708" w:type="dxa"/>
            <w:gridSpan w:val="2"/>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2032</w:t>
            </w:r>
          </w:p>
        </w:tc>
        <w:tc>
          <w:tcPr>
            <w:tcW w:w="994" w:type="dxa"/>
            <w:gridSpan w:val="2"/>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w:t>
            </w:r>
          </w:p>
        </w:tc>
        <w:tc>
          <w:tcPr>
            <w:tcW w:w="577" w:type="dxa"/>
            <w:gridSpan w:val="2"/>
            <w:shd w:val="clear" w:color="auto" w:fill="auto"/>
            <w:vAlign w:val="bottom"/>
          </w:tcPr>
          <w:p w:rsidR="00171D1D" w:rsidRPr="00592BA7" w:rsidRDefault="00171D1D" w:rsidP="00592BA7">
            <w:pPr>
              <w:jc w:val="both"/>
              <w:rPr>
                <w:rFonts w:ascii="Times New Roman" w:hAnsi="Times New Roman" w:cs="Times New Roman"/>
                <w:sz w:val="20"/>
                <w:szCs w:val="20"/>
              </w:rPr>
            </w:pPr>
          </w:p>
        </w:tc>
        <w:tc>
          <w:tcPr>
            <w:tcW w:w="851"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Бюджет -100%</w:t>
            </w:r>
          </w:p>
        </w:tc>
      </w:tr>
      <w:tr w:rsidR="00171D1D" w:rsidRPr="00592BA7" w:rsidTr="00592BA7">
        <w:trPr>
          <w:trHeight w:val="20"/>
        </w:trPr>
        <w:tc>
          <w:tcPr>
            <w:tcW w:w="15906" w:type="dxa"/>
            <w:gridSpan w:val="41"/>
            <w:shd w:val="clear" w:color="auto" w:fill="auto"/>
            <w:noWrap/>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3.2. Модернизация или реконструкция иных объектов централизованных систем теплоснабжения за исключением сетей теплоснабжения</w:t>
            </w:r>
          </w:p>
        </w:tc>
      </w:tr>
      <w:tr w:rsidR="00171D1D" w:rsidRPr="00592BA7" w:rsidTr="00592BA7">
        <w:trPr>
          <w:trHeight w:val="20"/>
        </w:trPr>
        <w:tc>
          <w:tcPr>
            <w:tcW w:w="15906" w:type="dxa"/>
            <w:gridSpan w:val="41"/>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Не планируется</w:t>
            </w:r>
          </w:p>
        </w:tc>
      </w:tr>
      <w:tr w:rsidR="00171D1D" w:rsidRPr="00592BA7" w:rsidTr="00592BA7">
        <w:trPr>
          <w:trHeight w:val="20"/>
        </w:trPr>
        <w:tc>
          <w:tcPr>
            <w:tcW w:w="594" w:type="dxa"/>
            <w:shd w:val="clear" w:color="auto" w:fill="auto"/>
            <w:noWrap/>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w:t>
            </w:r>
          </w:p>
        </w:tc>
        <w:tc>
          <w:tcPr>
            <w:tcW w:w="8626" w:type="dxa"/>
            <w:gridSpan w:val="17"/>
            <w:shd w:val="clear" w:color="auto" w:fill="auto"/>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Итого по группе 3 системы теплоснабжения</w:t>
            </w:r>
          </w:p>
        </w:tc>
        <w:tc>
          <w:tcPr>
            <w:tcW w:w="567" w:type="dxa"/>
            <w:gridSpan w:val="2"/>
            <w:shd w:val="clear" w:color="auto" w:fill="auto"/>
            <w:vAlign w:val="bottom"/>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w:t>
            </w:r>
          </w:p>
        </w:tc>
        <w:tc>
          <w:tcPr>
            <w:tcW w:w="572" w:type="dxa"/>
            <w:gridSpan w:val="4"/>
            <w:shd w:val="clear" w:color="auto" w:fill="auto"/>
            <w:vAlign w:val="bottom"/>
          </w:tcPr>
          <w:p w:rsidR="00171D1D" w:rsidRPr="00592BA7" w:rsidRDefault="00171D1D" w:rsidP="00592BA7">
            <w:pPr>
              <w:jc w:val="both"/>
              <w:rPr>
                <w:rFonts w:ascii="Times New Roman" w:hAnsi="Times New Roman" w:cs="Times New Roman"/>
                <w:sz w:val="20"/>
                <w:szCs w:val="20"/>
              </w:rPr>
            </w:pPr>
          </w:p>
        </w:tc>
        <w:tc>
          <w:tcPr>
            <w:tcW w:w="571" w:type="dxa"/>
            <w:gridSpan w:val="3"/>
            <w:shd w:val="clear" w:color="auto" w:fill="auto"/>
            <w:vAlign w:val="bottom"/>
          </w:tcPr>
          <w:p w:rsidR="00171D1D" w:rsidRPr="00592BA7" w:rsidRDefault="00171D1D" w:rsidP="00592BA7">
            <w:pPr>
              <w:jc w:val="both"/>
              <w:rPr>
                <w:rFonts w:ascii="Times New Roman" w:hAnsi="Times New Roman" w:cs="Times New Roman"/>
                <w:sz w:val="20"/>
                <w:szCs w:val="20"/>
              </w:rPr>
            </w:pPr>
          </w:p>
        </w:tc>
        <w:tc>
          <w:tcPr>
            <w:tcW w:w="571" w:type="dxa"/>
            <w:gridSpan w:val="4"/>
            <w:shd w:val="clear" w:color="auto" w:fill="auto"/>
            <w:vAlign w:val="bottom"/>
          </w:tcPr>
          <w:p w:rsidR="00171D1D" w:rsidRPr="00592BA7" w:rsidRDefault="00171D1D" w:rsidP="00592BA7">
            <w:pPr>
              <w:jc w:val="both"/>
              <w:rPr>
                <w:rFonts w:ascii="Times New Roman" w:hAnsi="Times New Roman" w:cs="Times New Roman"/>
                <w:sz w:val="20"/>
                <w:szCs w:val="20"/>
              </w:rPr>
            </w:pPr>
          </w:p>
        </w:tc>
        <w:tc>
          <w:tcPr>
            <w:tcW w:w="577" w:type="dxa"/>
            <w:gridSpan w:val="2"/>
            <w:shd w:val="clear" w:color="auto" w:fill="auto"/>
            <w:vAlign w:val="bottom"/>
          </w:tcPr>
          <w:p w:rsidR="00171D1D" w:rsidRPr="00592BA7" w:rsidRDefault="00171D1D" w:rsidP="00592BA7">
            <w:pPr>
              <w:jc w:val="both"/>
              <w:rPr>
                <w:rFonts w:ascii="Times New Roman" w:hAnsi="Times New Roman" w:cs="Times New Roman"/>
                <w:sz w:val="20"/>
                <w:szCs w:val="20"/>
              </w:rPr>
            </w:pPr>
          </w:p>
        </w:tc>
        <w:tc>
          <w:tcPr>
            <w:tcW w:w="698" w:type="dxa"/>
            <w:shd w:val="clear" w:color="auto" w:fill="auto"/>
            <w:vAlign w:val="bottom"/>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w:t>
            </w:r>
          </w:p>
        </w:tc>
        <w:tc>
          <w:tcPr>
            <w:tcW w:w="708" w:type="dxa"/>
            <w:gridSpan w:val="2"/>
            <w:shd w:val="clear" w:color="auto" w:fill="auto"/>
            <w:vAlign w:val="center"/>
          </w:tcPr>
          <w:p w:rsidR="00171D1D" w:rsidRPr="00592BA7" w:rsidRDefault="00171D1D" w:rsidP="00592BA7">
            <w:pPr>
              <w:jc w:val="both"/>
              <w:rPr>
                <w:rFonts w:ascii="Times New Roman" w:hAnsi="Times New Roman" w:cs="Times New Roman"/>
                <w:sz w:val="20"/>
                <w:szCs w:val="20"/>
              </w:rPr>
            </w:pPr>
          </w:p>
        </w:tc>
        <w:tc>
          <w:tcPr>
            <w:tcW w:w="994" w:type="dxa"/>
            <w:gridSpan w:val="2"/>
            <w:shd w:val="clear" w:color="auto" w:fill="auto"/>
            <w:vAlign w:val="bottom"/>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w:t>
            </w:r>
          </w:p>
        </w:tc>
        <w:tc>
          <w:tcPr>
            <w:tcW w:w="577" w:type="dxa"/>
            <w:gridSpan w:val="2"/>
            <w:shd w:val="clear" w:color="auto" w:fill="auto"/>
            <w:vAlign w:val="bottom"/>
          </w:tcPr>
          <w:p w:rsidR="00171D1D" w:rsidRPr="00592BA7" w:rsidRDefault="00171D1D" w:rsidP="00592BA7">
            <w:pPr>
              <w:jc w:val="both"/>
              <w:rPr>
                <w:rFonts w:ascii="Times New Roman" w:hAnsi="Times New Roman" w:cs="Times New Roman"/>
                <w:sz w:val="20"/>
                <w:szCs w:val="20"/>
              </w:rPr>
            </w:pPr>
          </w:p>
        </w:tc>
        <w:tc>
          <w:tcPr>
            <w:tcW w:w="851" w:type="dxa"/>
            <w:shd w:val="clear" w:color="auto" w:fill="auto"/>
            <w:vAlign w:val="center"/>
          </w:tcPr>
          <w:p w:rsidR="00171D1D" w:rsidRPr="00592BA7" w:rsidRDefault="00171D1D" w:rsidP="00592BA7">
            <w:pPr>
              <w:jc w:val="both"/>
              <w:rPr>
                <w:rFonts w:ascii="Times New Roman" w:hAnsi="Times New Roman" w:cs="Times New Roman"/>
                <w:sz w:val="20"/>
                <w:szCs w:val="20"/>
              </w:rPr>
            </w:pPr>
          </w:p>
        </w:tc>
      </w:tr>
      <w:tr w:rsidR="00171D1D" w:rsidRPr="00592BA7" w:rsidTr="00592BA7">
        <w:trPr>
          <w:trHeight w:val="20"/>
        </w:trPr>
        <w:tc>
          <w:tcPr>
            <w:tcW w:w="15906" w:type="dxa"/>
            <w:gridSpan w:val="41"/>
            <w:shd w:val="clear" w:color="auto" w:fill="auto"/>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Группа 4. Мероприятия, направленные на повышение экологической эффективности, достижение плановых значений показателей надежности, качества и энергоэффективности объектов централизованных систем теплоснабжения не включенные в прочие группы мероприятий</w:t>
            </w:r>
          </w:p>
        </w:tc>
      </w:tr>
      <w:tr w:rsidR="00171D1D" w:rsidRPr="00592BA7" w:rsidTr="00592BA7">
        <w:trPr>
          <w:trHeight w:val="20"/>
        </w:trPr>
        <w:tc>
          <w:tcPr>
            <w:tcW w:w="15906" w:type="dxa"/>
            <w:gridSpan w:val="41"/>
            <w:shd w:val="clear" w:color="auto" w:fill="auto"/>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Не планируется</w:t>
            </w:r>
          </w:p>
        </w:tc>
      </w:tr>
      <w:tr w:rsidR="00171D1D" w:rsidRPr="00592BA7" w:rsidTr="00592BA7">
        <w:trPr>
          <w:trHeight w:val="20"/>
        </w:trPr>
        <w:tc>
          <w:tcPr>
            <w:tcW w:w="15906" w:type="dxa"/>
            <w:gridSpan w:val="41"/>
            <w:shd w:val="clear" w:color="auto" w:fill="auto"/>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Группа 5. Вывод из эксплуатации, консервация и демонтаж объектов централизованных систем теплоснабжения </w:t>
            </w:r>
          </w:p>
        </w:tc>
      </w:tr>
      <w:tr w:rsidR="00171D1D" w:rsidRPr="00592BA7" w:rsidTr="00592BA7">
        <w:trPr>
          <w:trHeight w:val="20"/>
        </w:trPr>
        <w:tc>
          <w:tcPr>
            <w:tcW w:w="15906" w:type="dxa"/>
            <w:gridSpan w:val="41"/>
            <w:shd w:val="clear" w:color="auto" w:fill="auto"/>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5.1. Вывод из эксплуатации, консервация и демонтаж сетей теплоснабжения </w:t>
            </w:r>
          </w:p>
        </w:tc>
      </w:tr>
      <w:tr w:rsidR="00171D1D" w:rsidRPr="00592BA7" w:rsidTr="00592BA7">
        <w:trPr>
          <w:trHeight w:val="20"/>
        </w:trPr>
        <w:tc>
          <w:tcPr>
            <w:tcW w:w="15906" w:type="dxa"/>
            <w:gridSpan w:val="41"/>
            <w:shd w:val="clear" w:color="auto" w:fill="auto"/>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Не планируется</w:t>
            </w:r>
          </w:p>
        </w:tc>
      </w:tr>
      <w:tr w:rsidR="00171D1D" w:rsidRPr="00592BA7" w:rsidTr="00592BA7">
        <w:trPr>
          <w:trHeight w:val="20"/>
        </w:trPr>
        <w:tc>
          <w:tcPr>
            <w:tcW w:w="15906" w:type="dxa"/>
            <w:gridSpan w:val="41"/>
            <w:shd w:val="clear" w:color="auto" w:fill="auto"/>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5.2. Вывод из эксплуатации, консервация и демонтаж иных объектов централизованных систем теплоснабжения за исключением сетей теплоснабжения </w:t>
            </w:r>
          </w:p>
        </w:tc>
      </w:tr>
      <w:tr w:rsidR="00171D1D" w:rsidRPr="00592BA7" w:rsidTr="00592BA7">
        <w:trPr>
          <w:trHeight w:val="20"/>
        </w:trPr>
        <w:tc>
          <w:tcPr>
            <w:tcW w:w="15906" w:type="dxa"/>
            <w:gridSpan w:val="41"/>
            <w:shd w:val="clear" w:color="auto" w:fill="auto"/>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Не планируется</w:t>
            </w:r>
          </w:p>
        </w:tc>
      </w:tr>
      <w:tr w:rsidR="00171D1D" w:rsidRPr="00592BA7" w:rsidTr="00592BA7">
        <w:trPr>
          <w:trHeight w:val="20"/>
        </w:trPr>
        <w:tc>
          <w:tcPr>
            <w:tcW w:w="594" w:type="dxa"/>
            <w:shd w:val="clear" w:color="auto" w:fill="auto"/>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w:t>
            </w:r>
          </w:p>
        </w:tc>
        <w:tc>
          <w:tcPr>
            <w:tcW w:w="8626" w:type="dxa"/>
            <w:gridSpan w:val="17"/>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Итого по системе теплоснабжения</w:t>
            </w:r>
          </w:p>
        </w:tc>
        <w:tc>
          <w:tcPr>
            <w:tcW w:w="567" w:type="dxa"/>
            <w:gridSpan w:val="2"/>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2,00</w:t>
            </w:r>
          </w:p>
        </w:tc>
        <w:tc>
          <w:tcPr>
            <w:tcW w:w="572" w:type="dxa"/>
            <w:gridSpan w:val="4"/>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0,00</w:t>
            </w:r>
          </w:p>
        </w:tc>
        <w:tc>
          <w:tcPr>
            <w:tcW w:w="571" w:type="dxa"/>
            <w:gridSpan w:val="3"/>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0,00</w:t>
            </w:r>
          </w:p>
        </w:tc>
        <w:tc>
          <w:tcPr>
            <w:tcW w:w="571" w:type="dxa"/>
            <w:gridSpan w:val="4"/>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0,00</w:t>
            </w:r>
          </w:p>
        </w:tc>
        <w:tc>
          <w:tcPr>
            <w:tcW w:w="577" w:type="dxa"/>
            <w:gridSpan w:val="2"/>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0,00</w:t>
            </w:r>
          </w:p>
        </w:tc>
        <w:tc>
          <w:tcPr>
            <w:tcW w:w="698"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2,00</w:t>
            </w:r>
          </w:p>
        </w:tc>
        <w:tc>
          <w:tcPr>
            <w:tcW w:w="708" w:type="dxa"/>
            <w:gridSpan w:val="2"/>
            <w:shd w:val="clear" w:color="auto" w:fill="auto"/>
            <w:vAlign w:val="center"/>
          </w:tcPr>
          <w:p w:rsidR="00171D1D" w:rsidRPr="00592BA7" w:rsidRDefault="00171D1D" w:rsidP="00592BA7">
            <w:pPr>
              <w:jc w:val="both"/>
              <w:rPr>
                <w:rFonts w:ascii="Times New Roman" w:hAnsi="Times New Roman" w:cs="Times New Roman"/>
                <w:sz w:val="20"/>
                <w:szCs w:val="20"/>
              </w:rPr>
            </w:pPr>
          </w:p>
        </w:tc>
        <w:tc>
          <w:tcPr>
            <w:tcW w:w="994" w:type="dxa"/>
            <w:gridSpan w:val="2"/>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4,00</w:t>
            </w:r>
          </w:p>
        </w:tc>
        <w:tc>
          <w:tcPr>
            <w:tcW w:w="577" w:type="dxa"/>
            <w:gridSpan w:val="2"/>
            <w:shd w:val="clear" w:color="auto" w:fill="auto"/>
            <w:vAlign w:val="center"/>
          </w:tcPr>
          <w:p w:rsidR="00171D1D" w:rsidRPr="00592BA7" w:rsidRDefault="00171D1D" w:rsidP="00592BA7">
            <w:pPr>
              <w:jc w:val="both"/>
              <w:rPr>
                <w:rFonts w:ascii="Times New Roman" w:hAnsi="Times New Roman" w:cs="Times New Roman"/>
                <w:sz w:val="20"/>
                <w:szCs w:val="20"/>
              </w:rPr>
            </w:pPr>
          </w:p>
        </w:tc>
        <w:tc>
          <w:tcPr>
            <w:tcW w:w="851" w:type="dxa"/>
            <w:shd w:val="clear" w:color="auto" w:fill="auto"/>
            <w:vAlign w:val="center"/>
          </w:tcPr>
          <w:p w:rsidR="00171D1D" w:rsidRPr="00592BA7" w:rsidRDefault="00171D1D" w:rsidP="00592BA7">
            <w:pPr>
              <w:jc w:val="both"/>
              <w:rPr>
                <w:rFonts w:ascii="Times New Roman" w:hAnsi="Times New Roman" w:cs="Times New Roman"/>
                <w:sz w:val="20"/>
                <w:szCs w:val="20"/>
              </w:rPr>
            </w:pPr>
          </w:p>
        </w:tc>
      </w:tr>
      <w:tr w:rsidR="00171D1D" w:rsidRPr="00592BA7" w:rsidTr="00592BA7">
        <w:trPr>
          <w:trHeight w:val="20"/>
        </w:trPr>
        <w:tc>
          <w:tcPr>
            <w:tcW w:w="15906" w:type="dxa"/>
            <w:gridSpan w:val="41"/>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Система водоснабжения</w:t>
            </w:r>
          </w:p>
        </w:tc>
      </w:tr>
      <w:tr w:rsidR="00171D1D" w:rsidRPr="00592BA7" w:rsidTr="00592BA7">
        <w:trPr>
          <w:trHeight w:val="20"/>
        </w:trPr>
        <w:tc>
          <w:tcPr>
            <w:tcW w:w="15906" w:type="dxa"/>
            <w:gridSpan w:val="41"/>
            <w:shd w:val="clear" w:color="auto" w:fill="auto"/>
            <w:noWrap/>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Группа 1. Строительство, модернизация или реконструкция объектов централизованных систем водоснабжения в целях подключения объектов капитального строительства абонентов</w:t>
            </w:r>
          </w:p>
        </w:tc>
      </w:tr>
      <w:tr w:rsidR="00171D1D" w:rsidRPr="00592BA7" w:rsidTr="00592BA7">
        <w:trPr>
          <w:trHeight w:val="20"/>
        </w:trPr>
        <w:tc>
          <w:tcPr>
            <w:tcW w:w="15906" w:type="dxa"/>
            <w:gridSpan w:val="41"/>
            <w:shd w:val="clear" w:color="auto" w:fill="auto"/>
            <w:noWrap/>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1.1. Строительство новых сетей водоснабжения в целях подключения объектов капитального строительства абонентов</w:t>
            </w:r>
          </w:p>
        </w:tc>
      </w:tr>
      <w:tr w:rsidR="00171D1D" w:rsidRPr="00592BA7" w:rsidTr="00592BA7">
        <w:trPr>
          <w:trHeight w:val="20"/>
        </w:trPr>
        <w:tc>
          <w:tcPr>
            <w:tcW w:w="15906" w:type="dxa"/>
            <w:gridSpan w:val="41"/>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Не планируется</w:t>
            </w:r>
          </w:p>
        </w:tc>
      </w:tr>
      <w:tr w:rsidR="00171D1D" w:rsidRPr="00592BA7" w:rsidTr="00592BA7">
        <w:trPr>
          <w:trHeight w:val="20"/>
        </w:trPr>
        <w:tc>
          <w:tcPr>
            <w:tcW w:w="15906" w:type="dxa"/>
            <w:gridSpan w:val="41"/>
            <w:shd w:val="clear" w:color="auto" w:fill="auto"/>
            <w:noWrap/>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1.2. Строительство иных объектов централизованных систем водоснабжения за исключением сетей водоснабжения</w:t>
            </w:r>
          </w:p>
        </w:tc>
      </w:tr>
      <w:tr w:rsidR="00171D1D" w:rsidRPr="00592BA7" w:rsidTr="00592BA7">
        <w:trPr>
          <w:trHeight w:val="20"/>
        </w:trPr>
        <w:tc>
          <w:tcPr>
            <w:tcW w:w="15906" w:type="dxa"/>
            <w:gridSpan w:val="41"/>
            <w:shd w:val="clear" w:color="auto" w:fill="auto"/>
            <w:noWrap/>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Не планируется</w:t>
            </w:r>
          </w:p>
        </w:tc>
      </w:tr>
      <w:tr w:rsidR="00171D1D" w:rsidRPr="00592BA7" w:rsidTr="00592BA7">
        <w:trPr>
          <w:trHeight w:val="20"/>
        </w:trPr>
        <w:tc>
          <w:tcPr>
            <w:tcW w:w="15906" w:type="dxa"/>
            <w:gridSpan w:val="41"/>
            <w:shd w:val="clear" w:color="auto" w:fill="auto"/>
            <w:noWrap/>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1.3. Увеличение пропускной способности существующих сетей водоснабжения в целях подключения объектов капитального строительства абонентов</w:t>
            </w:r>
          </w:p>
        </w:tc>
      </w:tr>
      <w:tr w:rsidR="00171D1D" w:rsidRPr="00592BA7" w:rsidTr="00592BA7">
        <w:trPr>
          <w:trHeight w:val="20"/>
        </w:trPr>
        <w:tc>
          <w:tcPr>
            <w:tcW w:w="15906" w:type="dxa"/>
            <w:gridSpan w:val="41"/>
            <w:shd w:val="clear" w:color="auto" w:fill="auto"/>
            <w:noWrap/>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Не планируется</w:t>
            </w:r>
          </w:p>
        </w:tc>
      </w:tr>
      <w:tr w:rsidR="00171D1D" w:rsidRPr="00592BA7" w:rsidTr="00592BA7">
        <w:trPr>
          <w:trHeight w:val="20"/>
        </w:trPr>
        <w:tc>
          <w:tcPr>
            <w:tcW w:w="15906" w:type="dxa"/>
            <w:gridSpan w:val="41"/>
            <w:shd w:val="clear" w:color="auto" w:fill="auto"/>
            <w:noWrap/>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1.4. Увеличение мощности и производительности существующих объектов централизованных систем водоснабжения, за исключением сетей водоснабжения </w:t>
            </w:r>
          </w:p>
        </w:tc>
      </w:tr>
      <w:tr w:rsidR="00171D1D" w:rsidRPr="00592BA7" w:rsidTr="00592BA7">
        <w:trPr>
          <w:trHeight w:val="60"/>
        </w:trPr>
        <w:tc>
          <w:tcPr>
            <w:tcW w:w="15906" w:type="dxa"/>
            <w:gridSpan w:val="41"/>
            <w:shd w:val="clear" w:color="auto" w:fill="auto"/>
            <w:noWrap/>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Не планируется</w:t>
            </w:r>
          </w:p>
        </w:tc>
      </w:tr>
      <w:tr w:rsidR="00171D1D" w:rsidRPr="00592BA7" w:rsidTr="00592BA7">
        <w:trPr>
          <w:trHeight w:val="20"/>
        </w:trPr>
        <w:tc>
          <w:tcPr>
            <w:tcW w:w="15906" w:type="dxa"/>
            <w:gridSpan w:val="41"/>
            <w:shd w:val="clear" w:color="auto" w:fill="auto"/>
            <w:noWrap/>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Группа 2. Строительство новых объектов централизованных систем водоснабжения не связанных с подключением новых объектов капитального строительства абонентов</w:t>
            </w:r>
          </w:p>
        </w:tc>
      </w:tr>
      <w:tr w:rsidR="00171D1D" w:rsidRPr="00592BA7" w:rsidTr="00592BA7">
        <w:trPr>
          <w:trHeight w:val="20"/>
        </w:trPr>
        <w:tc>
          <w:tcPr>
            <w:tcW w:w="15906" w:type="dxa"/>
            <w:gridSpan w:val="41"/>
            <w:shd w:val="clear" w:color="auto" w:fill="auto"/>
            <w:noWrap/>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2.1. Строительство новых сетей водоснабжения</w:t>
            </w:r>
          </w:p>
        </w:tc>
      </w:tr>
      <w:tr w:rsidR="00171D1D" w:rsidRPr="00592BA7" w:rsidTr="00592BA7">
        <w:trPr>
          <w:trHeight w:val="64"/>
        </w:trPr>
        <w:tc>
          <w:tcPr>
            <w:tcW w:w="15906" w:type="dxa"/>
            <w:gridSpan w:val="41"/>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Не планируется</w:t>
            </w:r>
          </w:p>
        </w:tc>
      </w:tr>
      <w:tr w:rsidR="00171D1D" w:rsidRPr="00592BA7" w:rsidTr="00592BA7">
        <w:trPr>
          <w:trHeight w:val="20"/>
        </w:trPr>
        <w:tc>
          <w:tcPr>
            <w:tcW w:w="15906" w:type="dxa"/>
            <w:gridSpan w:val="41"/>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2.2. Строительство иных объектов централизованных систем водоснабжения за исключением сетей водоснабжения</w:t>
            </w:r>
          </w:p>
        </w:tc>
      </w:tr>
      <w:tr w:rsidR="00171D1D" w:rsidRPr="00592BA7" w:rsidTr="00592BA7">
        <w:trPr>
          <w:trHeight w:val="20"/>
        </w:trPr>
        <w:tc>
          <w:tcPr>
            <w:tcW w:w="15906" w:type="dxa"/>
            <w:gridSpan w:val="41"/>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Не планируется</w:t>
            </w:r>
          </w:p>
        </w:tc>
      </w:tr>
      <w:tr w:rsidR="00171D1D" w:rsidRPr="00592BA7" w:rsidTr="00592BA7">
        <w:trPr>
          <w:trHeight w:val="20"/>
        </w:trPr>
        <w:tc>
          <w:tcPr>
            <w:tcW w:w="15906" w:type="dxa"/>
            <w:gridSpan w:val="41"/>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Группа 3. Модернизация или реконструкция существующих объектов централизованных систем водоснабжения в целях снижения уровня износа существующих объектов</w:t>
            </w:r>
          </w:p>
        </w:tc>
      </w:tr>
      <w:tr w:rsidR="00171D1D" w:rsidRPr="00592BA7" w:rsidTr="00592BA7">
        <w:trPr>
          <w:trHeight w:val="20"/>
        </w:trPr>
        <w:tc>
          <w:tcPr>
            <w:tcW w:w="15906" w:type="dxa"/>
            <w:gridSpan w:val="41"/>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3.1. Модернизация или реконструкция существующих сетей водоснабжения</w:t>
            </w:r>
          </w:p>
        </w:tc>
      </w:tr>
      <w:tr w:rsidR="00171D1D" w:rsidRPr="00592BA7" w:rsidTr="00592BA7">
        <w:trPr>
          <w:trHeight w:val="20"/>
        </w:trPr>
        <w:tc>
          <w:tcPr>
            <w:tcW w:w="594" w:type="dxa"/>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3.1.1</w:t>
            </w:r>
          </w:p>
        </w:tc>
        <w:tc>
          <w:tcPr>
            <w:tcW w:w="2396"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Замена ветхих участков водопроводных сетей</w:t>
            </w:r>
          </w:p>
        </w:tc>
        <w:tc>
          <w:tcPr>
            <w:tcW w:w="1415" w:type="dxa"/>
            <w:gridSpan w:val="2"/>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В соответствии с Схемой водоснабжения</w:t>
            </w:r>
          </w:p>
        </w:tc>
        <w:tc>
          <w:tcPr>
            <w:tcW w:w="1416" w:type="dxa"/>
            <w:gridSpan w:val="4"/>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Шумерлинский муниципальный округ</w:t>
            </w:r>
          </w:p>
        </w:tc>
        <w:tc>
          <w:tcPr>
            <w:tcW w:w="1275" w:type="dxa"/>
            <w:gridSpan w:val="2"/>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Протяженность, п.м.</w:t>
            </w:r>
          </w:p>
        </w:tc>
        <w:tc>
          <w:tcPr>
            <w:tcW w:w="707" w:type="dxa"/>
            <w:gridSpan w:val="3"/>
            <w:shd w:val="clear" w:color="auto" w:fill="auto"/>
            <w:noWrap/>
            <w:vAlign w:val="center"/>
          </w:tcPr>
          <w:p w:rsidR="00171D1D" w:rsidRPr="00592BA7" w:rsidRDefault="00171D1D" w:rsidP="00592BA7">
            <w:pPr>
              <w:jc w:val="both"/>
              <w:rPr>
                <w:rFonts w:ascii="Times New Roman" w:hAnsi="Times New Roman" w:cs="Times New Roman"/>
                <w:sz w:val="20"/>
                <w:szCs w:val="20"/>
              </w:rPr>
            </w:pPr>
          </w:p>
        </w:tc>
        <w:tc>
          <w:tcPr>
            <w:tcW w:w="708" w:type="dxa"/>
            <w:gridSpan w:val="2"/>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2026</w:t>
            </w:r>
          </w:p>
        </w:tc>
        <w:tc>
          <w:tcPr>
            <w:tcW w:w="709" w:type="dxa"/>
            <w:gridSpan w:val="3"/>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2032</w:t>
            </w:r>
          </w:p>
        </w:tc>
        <w:tc>
          <w:tcPr>
            <w:tcW w:w="567" w:type="dxa"/>
            <w:gridSpan w:val="2"/>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w:t>
            </w:r>
          </w:p>
        </w:tc>
        <w:tc>
          <w:tcPr>
            <w:tcW w:w="572" w:type="dxa"/>
            <w:gridSpan w:val="4"/>
            <w:shd w:val="clear" w:color="auto" w:fill="auto"/>
            <w:vAlign w:val="center"/>
          </w:tcPr>
          <w:p w:rsidR="00171D1D" w:rsidRPr="00592BA7" w:rsidRDefault="00171D1D" w:rsidP="00592BA7">
            <w:pPr>
              <w:jc w:val="both"/>
              <w:rPr>
                <w:rFonts w:ascii="Times New Roman" w:hAnsi="Times New Roman" w:cs="Times New Roman"/>
                <w:sz w:val="20"/>
                <w:szCs w:val="20"/>
              </w:rPr>
            </w:pPr>
          </w:p>
        </w:tc>
        <w:tc>
          <w:tcPr>
            <w:tcW w:w="571" w:type="dxa"/>
            <w:gridSpan w:val="3"/>
            <w:shd w:val="clear" w:color="auto" w:fill="auto"/>
            <w:vAlign w:val="center"/>
          </w:tcPr>
          <w:p w:rsidR="00171D1D" w:rsidRPr="00592BA7" w:rsidRDefault="00171D1D" w:rsidP="00592BA7">
            <w:pPr>
              <w:jc w:val="both"/>
              <w:rPr>
                <w:rFonts w:ascii="Times New Roman" w:hAnsi="Times New Roman" w:cs="Times New Roman"/>
                <w:sz w:val="20"/>
                <w:szCs w:val="20"/>
              </w:rPr>
            </w:pPr>
          </w:p>
        </w:tc>
        <w:tc>
          <w:tcPr>
            <w:tcW w:w="571" w:type="dxa"/>
            <w:gridSpan w:val="4"/>
            <w:shd w:val="clear" w:color="auto" w:fill="auto"/>
            <w:vAlign w:val="center"/>
          </w:tcPr>
          <w:p w:rsidR="00171D1D" w:rsidRPr="00592BA7" w:rsidRDefault="00171D1D" w:rsidP="00592BA7">
            <w:pPr>
              <w:jc w:val="both"/>
              <w:rPr>
                <w:rFonts w:ascii="Times New Roman" w:hAnsi="Times New Roman" w:cs="Times New Roman"/>
                <w:sz w:val="20"/>
                <w:szCs w:val="20"/>
              </w:rPr>
            </w:pPr>
          </w:p>
        </w:tc>
        <w:tc>
          <w:tcPr>
            <w:tcW w:w="577" w:type="dxa"/>
            <w:gridSpan w:val="2"/>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w:t>
            </w:r>
          </w:p>
        </w:tc>
        <w:tc>
          <w:tcPr>
            <w:tcW w:w="698"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w:t>
            </w:r>
          </w:p>
        </w:tc>
        <w:tc>
          <w:tcPr>
            <w:tcW w:w="708" w:type="dxa"/>
            <w:gridSpan w:val="2"/>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2032</w:t>
            </w:r>
          </w:p>
        </w:tc>
        <w:tc>
          <w:tcPr>
            <w:tcW w:w="994" w:type="dxa"/>
            <w:gridSpan w:val="2"/>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w:t>
            </w:r>
          </w:p>
        </w:tc>
        <w:tc>
          <w:tcPr>
            <w:tcW w:w="577" w:type="dxa"/>
            <w:gridSpan w:val="2"/>
            <w:shd w:val="clear" w:color="auto" w:fill="auto"/>
            <w:noWrap/>
            <w:vAlign w:val="center"/>
          </w:tcPr>
          <w:p w:rsidR="00171D1D" w:rsidRPr="00592BA7" w:rsidRDefault="00171D1D" w:rsidP="00592BA7">
            <w:pPr>
              <w:jc w:val="both"/>
              <w:rPr>
                <w:rFonts w:ascii="Times New Roman" w:hAnsi="Times New Roman" w:cs="Times New Roman"/>
                <w:sz w:val="20"/>
                <w:szCs w:val="20"/>
              </w:rPr>
            </w:pPr>
          </w:p>
        </w:tc>
        <w:tc>
          <w:tcPr>
            <w:tcW w:w="851"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Бюджет -100%</w:t>
            </w:r>
          </w:p>
        </w:tc>
      </w:tr>
      <w:tr w:rsidR="00171D1D" w:rsidRPr="00592BA7" w:rsidTr="00592BA7">
        <w:trPr>
          <w:trHeight w:val="20"/>
        </w:trPr>
        <w:tc>
          <w:tcPr>
            <w:tcW w:w="15906" w:type="dxa"/>
            <w:gridSpan w:val="41"/>
            <w:shd w:val="clear" w:color="auto" w:fill="auto"/>
            <w:noWrap/>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 xml:space="preserve">3.2. Модернизация или реконструкция существующих объектов централизованных систем водоснабжения за исключением сетей водоснабжения </w:t>
            </w:r>
          </w:p>
        </w:tc>
      </w:tr>
      <w:tr w:rsidR="00171D1D" w:rsidRPr="00592BA7" w:rsidTr="00592BA7">
        <w:trPr>
          <w:trHeight w:val="20"/>
        </w:trPr>
        <w:tc>
          <w:tcPr>
            <w:tcW w:w="15906" w:type="dxa"/>
            <w:gridSpan w:val="41"/>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Не планируется</w:t>
            </w:r>
          </w:p>
        </w:tc>
      </w:tr>
      <w:tr w:rsidR="00171D1D" w:rsidRPr="00592BA7" w:rsidTr="00592BA7">
        <w:trPr>
          <w:trHeight w:val="20"/>
        </w:trPr>
        <w:tc>
          <w:tcPr>
            <w:tcW w:w="594" w:type="dxa"/>
            <w:shd w:val="clear" w:color="auto" w:fill="auto"/>
            <w:noWrap/>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w:t>
            </w:r>
          </w:p>
        </w:tc>
        <w:tc>
          <w:tcPr>
            <w:tcW w:w="8626" w:type="dxa"/>
            <w:gridSpan w:val="17"/>
            <w:shd w:val="clear" w:color="auto" w:fill="auto"/>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Итого по группе 3 системы водоснабжения</w:t>
            </w:r>
          </w:p>
        </w:tc>
        <w:tc>
          <w:tcPr>
            <w:tcW w:w="567" w:type="dxa"/>
            <w:gridSpan w:val="2"/>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w:t>
            </w:r>
          </w:p>
        </w:tc>
        <w:tc>
          <w:tcPr>
            <w:tcW w:w="572" w:type="dxa"/>
            <w:gridSpan w:val="4"/>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c>
          <w:tcPr>
            <w:tcW w:w="571" w:type="dxa"/>
            <w:gridSpan w:val="3"/>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c>
          <w:tcPr>
            <w:tcW w:w="571" w:type="dxa"/>
            <w:gridSpan w:val="4"/>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c>
          <w:tcPr>
            <w:tcW w:w="577" w:type="dxa"/>
            <w:gridSpan w:val="2"/>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w:t>
            </w:r>
          </w:p>
        </w:tc>
        <w:tc>
          <w:tcPr>
            <w:tcW w:w="698" w:type="dxa"/>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w:t>
            </w:r>
          </w:p>
        </w:tc>
        <w:tc>
          <w:tcPr>
            <w:tcW w:w="708" w:type="dxa"/>
            <w:gridSpan w:val="2"/>
            <w:shd w:val="clear" w:color="auto" w:fill="auto"/>
            <w:noWrap/>
            <w:vAlign w:val="center"/>
          </w:tcPr>
          <w:p w:rsidR="00171D1D" w:rsidRPr="00592BA7" w:rsidRDefault="00171D1D" w:rsidP="00592BA7">
            <w:pPr>
              <w:jc w:val="both"/>
              <w:rPr>
                <w:rFonts w:ascii="Times New Roman" w:hAnsi="Times New Roman" w:cs="Times New Roman"/>
                <w:sz w:val="20"/>
                <w:szCs w:val="20"/>
              </w:rPr>
            </w:pPr>
          </w:p>
        </w:tc>
        <w:tc>
          <w:tcPr>
            <w:tcW w:w="994" w:type="dxa"/>
            <w:gridSpan w:val="2"/>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w:t>
            </w:r>
          </w:p>
        </w:tc>
        <w:tc>
          <w:tcPr>
            <w:tcW w:w="577" w:type="dxa"/>
            <w:gridSpan w:val="2"/>
            <w:shd w:val="clear" w:color="auto" w:fill="auto"/>
            <w:noWrap/>
            <w:vAlign w:val="center"/>
          </w:tcPr>
          <w:p w:rsidR="00171D1D" w:rsidRPr="00592BA7" w:rsidRDefault="00171D1D" w:rsidP="00592BA7">
            <w:pPr>
              <w:jc w:val="both"/>
              <w:rPr>
                <w:rFonts w:ascii="Times New Roman" w:hAnsi="Times New Roman" w:cs="Times New Roman"/>
                <w:sz w:val="20"/>
                <w:szCs w:val="20"/>
              </w:rPr>
            </w:pPr>
          </w:p>
        </w:tc>
        <w:tc>
          <w:tcPr>
            <w:tcW w:w="851" w:type="dxa"/>
            <w:shd w:val="clear" w:color="auto" w:fill="auto"/>
            <w:noWrap/>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w:t>
            </w:r>
          </w:p>
        </w:tc>
      </w:tr>
      <w:tr w:rsidR="00171D1D" w:rsidRPr="00592BA7" w:rsidTr="00592BA7">
        <w:trPr>
          <w:trHeight w:val="20"/>
        </w:trPr>
        <w:tc>
          <w:tcPr>
            <w:tcW w:w="15906" w:type="dxa"/>
            <w:gridSpan w:val="41"/>
            <w:shd w:val="clear" w:color="auto" w:fill="auto"/>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Группа 4. Мероприятия, направленные на повышение экологической эффективности, достижение плановых значений показателей надежности, качества и энергоэффективности объектов централизованных систем водоснабжения не включенные в прочие группы мероприятий</w:t>
            </w:r>
          </w:p>
        </w:tc>
      </w:tr>
      <w:tr w:rsidR="00171D1D" w:rsidRPr="00592BA7" w:rsidTr="00592BA7">
        <w:trPr>
          <w:trHeight w:val="20"/>
        </w:trPr>
        <w:tc>
          <w:tcPr>
            <w:tcW w:w="15906" w:type="dxa"/>
            <w:gridSpan w:val="41"/>
            <w:shd w:val="clear" w:color="auto" w:fill="auto"/>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Не планируется</w:t>
            </w:r>
          </w:p>
        </w:tc>
      </w:tr>
      <w:tr w:rsidR="00171D1D" w:rsidRPr="00592BA7" w:rsidTr="00592BA7">
        <w:trPr>
          <w:trHeight w:val="20"/>
        </w:trPr>
        <w:tc>
          <w:tcPr>
            <w:tcW w:w="15906" w:type="dxa"/>
            <w:gridSpan w:val="41"/>
            <w:shd w:val="clear" w:color="auto" w:fill="auto"/>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Группа 5. Вывод из эксплуатации, консервация и демонтаж объектов централизованных систем водоснабжения </w:t>
            </w:r>
          </w:p>
        </w:tc>
      </w:tr>
      <w:tr w:rsidR="00171D1D" w:rsidRPr="00592BA7" w:rsidTr="00592BA7">
        <w:trPr>
          <w:trHeight w:val="20"/>
        </w:trPr>
        <w:tc>
          <w:tcPr>
            <w:tcW w:w="15906" w:type="dxa"/>
            <w:gridSpan w:val="41"/>
            <w:shd w:val="clear" w:color="auto" w:fill="auto"/>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5.1. Вывод из эксплуатации, консервация и демонтаж сетей водоснабжения </w:t>
            </w:r>
          </w:p>
        </w:tc>
      </w:tr>
      <w:tr w:rsidR="00171D1D" w:rsidRPr="00592BA7" w:rsidTr="00592BA7">
        <w:trPr>
          <w:trHeight w:val="20"/>
        </w:trPr>
        <w:tc>
          <w:tcPr>
            <w:tcW w:w="15906" w:type="dxa"/>
            <w:gridSpan w:val="41"/>
            <w:shd w:val="clear" w:color="auto" w:fill="auto"/>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Не планируется</w:t>
            </w:r>
          </w:p>
        </w:tc>
      </w:tr>
      <w:tr w:rsidR="00171D1D" w:rsidRPr="00592BA7" w:rsidTr="00592BA7">
        <w:trPr>
          <w:trHeight w:val="20"/>
        </w:trPr>
        <w:tc>
          <w:tcPr>
            <w:tcW w:w="15906" w:type="dxa"/>
            <w:gridSpan w:val="41"/>
            <w:shd w:val="clear" w:color="auto" w:fill="auto"/>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5.2. Вывод из эксплуатации, консервация и демонтаж иных объектов централизованных систем водоснабжения за исключением сетей водоснабжения </w:t>
            </w:r>
          </w:p>
        </w:tc>
      </w:tr>
      <w:tr w:rsidR="00171D1D" w:rsidRPr="00592BA7" w:rsidTr="00592BA7">
        <w:trPr>
          <w:trHeight w:val="20"/>
        </w:trPr>
        <w:tc>
          <w:tcPr>
            <w:tcW w:w="15906" w:type="dxa"/>
            <w:gridSpan w:val="41"/>
            <w:shd w:val="clear" w:color="auto" w:fill="auto"/>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Не планируется</w:t>
            </w:r>
          </w:p>
        </w:tc>
      </w:tr>
      <w:tr w:rsidR="00171D1D" w:rsidRPr="00592BA7" w:rsidTr="00592BA7">
        <w:trPr>
          <w:trHeight w:val="20"/>
        </w:trPr>
        <w:tc>
          <w:tcPr>
            <w:tcW w:w="594" w:type="dxa"/>
            <w:shd w:val="clear" w:color="auto" w:fill="auto"/>
            <w:noWrap/>
            <w:vAlign w:val="bottom"/>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 </w:t>
            </w:r>
          </w:p>
        </w:tc>
        <w:tc>
          <w:tcPr>
            <w:tcW w:w="8626" w:type="dxa"/>
            <w:gridSpan w:val="17"/>
            <w:shd w:val="clear" w:color="auto" w:fill="auto"/>
            <w:noWrap/>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Итого по группе системы водоснабжения</w:t>
            </w:r>
          </w:p>
        </w:tc>
        <w:tc>
          <w:tcPr>
            <w:tcW w:w="567" w:type="dxa"/>
            <w:gridSpan w:val="2"/>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w:t>
            </w:r>
          </w:p>
        </w:tc>
        <w:tc>
          <w:tcPr>
            <w:tcW w:w="572" w:type="dxa"/>
            <w:gridSpan w:val="4"/>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0,00</w:t>
            </w:r>
          </w:p>
        </w:tc>
        <w:tc>
          <w:tcPr>
            <w:tcW w:w="571" w:type="dxa"/>
            <w:gridSpan w:val="3"/>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0,00</w:t>
            </w:r>
          </w:p>
        </w:tc>
        <w:tc>
          <w:tcPr>
            <w:tcW w:w="571" w:type="dxa"/>
            <w:gridSpan w:val="4"/>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0,00</w:t>
            </w:r>
          </w:p>
        </w:tc>
        <w:tc>
          <w:tcPr>
            <w:tcW w:w="577" w:type="dxa"/>
            <w:gridSpan w:val="2"/>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w:t>
            </w:r>
          </w:p>
        </w:tc>
        <w:tc>
          <w:tcPr>
            <w:tcW w:w="698"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2,00</w:t>
            </w:r>
          </w:p>
        </w:tc>
        <w:tc>
          <w:tcPr>
            <w:tcW w:w="708" w:type="dxa"/>
            <w:gridSpan w:val="2"/>
            <w:shd w:val="clear" w:color="auto" w:fill="auto"/>
            <w:vAlign w:val="center"/>
          </w:tcPr>
          <w:p w:rsidR="00171D1D" w:rsidRPr="00592BA7" w:rsidRDefault="00171D1D" w:rsidP="00592BA7">
            <w:pPr>
              <w:jc w:val="both"/>
              <w:rPr>
                <w:rFonts w:ascii="Times New Roman" w:hAnsi="Times New Roman" w:cs="Times New Roman"/>
                <w:sz w:val="20"/>
                <w:szCs w:val="20"/>
              </w:rPr>
            </w:pPr>
          </w:p>
        </w:tc>
        <w:tc>
          <w:tcPr>
            <w:tcW w:w="994" w:type="dxa"/>
            <w:gridSpan w:val="2"/>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4,00</w:t>
            </w:r>
          </w:p>
        </w:tc>
        <w:tc>
          <w:tcPr>
            <w:tcW w:w="577" w:type="dxa"/>
            <w:gridSpan w:val="2"/>
            <w:shd w:val="clear" w:color="auto" w:fill="auto"/>
            <w:vAlign w:val="center"/>
          </w:tcPr>
          <w:p w:rsidR="00171D1D" w:rsidRPr="00592BA7" w:rsidRDefault="00171D1D" w:rsidP="00592BA7">
            <w:pPr>
              <w:jc w:val="both"/>
              <w:rPr>
                <w:rFonts w:ascii="Times New Roman" w:hAnsi="Times New Roman" w:cs="Times New Roman"/>
                <w:sz w:val="20"/>
                <w:szCs w:val="20"/>
              </w:rPr>
            </w:pPr>
          </w:p>
        </w:tc>
        <w:tc>
          <w:tcPr>
            <w:tcW w:w="851" w:type="dxa"/>
            <w:shd w:val="clear" w:color="auto" w:fill="auto"/>
            <w:noWrap/>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w:t>
            </w:r>
          </w:p>
        </w:tc>
      </w:tr>
      <w:tr w:rsidR="00171D1D" w:rsidRPr="00592BA7" w:rsidTr="00592BA7">
        <w:trPr>
          <w:trHeight w:val="20"/>
        </w:trPr>
        <w:tc>
          <w:tcPr>
            <w:tcW w:w="15906" w:type="dxa"/>
            <w:gridSpan w:val="41"/>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Система водоотведения</w:t>
            </w:r>
          </w:p>
        </w:tc>
      </w:tr>
      <w:tr w:rsidR="00171D1D" w:rsidRPr="00592BA7" w:rsidTr="00592BA7">
        <w:trPr>
          <w:trHeight w:val="20"/>
        </w:trPr>
        <w:tc>
          <w:tcPr>
            <w:tcW w:w="15906" w:type="dxa"/>
            <w:gridSpan w:val="41"/>
            <w:shd w:val="clear" w:color="auto" w:fill="auto"/>
            <w:noWrap/>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Группа 1. Строительство, модернизация или реконструкция объектов централизованных систем водоотведения в целях подключения объектов капитального строительства абонентов</w:t>
            </w:r>
          </w:p>
        </w:tc>
      </w:tr>
      <w:tr w:rsidR="00171D1D" w:rsidRPr="00592BA7" w:rsidTr="00592BA7">
        <w:trPr>
          <w:trHeight w:val="20"/>
        </w:trPr>
        <w:tc>
          <w:tcPr>
            <w:tcW w:w="15906" w:type="dxa"/>
            <w:gridSpan w:val="41"/>
            <w:shd w:val="clear" w:color="auto" w:fill="auto"/>
            <w:noWrap/>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1.1. Строительство новых сетей водоотведения в целях подключения объектов капитального строительства абонентов</w:t>
            </w:r>
          </w:p>
        </w:tc>
      </w:tr>
      <w:tr w:rsidR="00171D1D" w:rsidRPr="00592BA7" w:rsidTr="00592BA7">
        <w:trPr>
          <w:trHeight w:val="20"/>
        </w:trPr>
        <w:tc>
          <w:tcPr>
            <w:tcW w:w="594" w:type="dxa"/>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1.1.1</w:t>
            </w:r>
          </w:p>
        </w:tc>
        <w:tc>
          <w:tcPr>
            <w:tcW w:w="2396"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Строительство наружных сетей канализации жилого микрорайона с малоэтажными и коттеджного типа домами</w:t>
            </w:r>
          </w:p>
        </w:tc>
        <w:tc>
          <w:tcPr>
            <w:tcW w:w="1415" w:type="dxa"/>
            <w:gridSpan w:val="2"/>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СТП Чувашской Республики</w:t>
            </w:r>
          </w:p>
        </w:tc>
        <w:tc>
          <w:tcPr>
            <w:tcW w:w="1416" w:type="dxa"/>
            <w:gridSpan w:val="4"/>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д. Шумерля (ул. Благовещенская)</w:t>
            </w:r>
          </w:p>
        </w:tc>
        <w:tc>
          <w:tcPr>
            <w:tcW w:w="1275" w:type="dxa"/>
            <w:gridSpan w:val="2"/>
            <w:shd w:val="clear" w:color="auto" w:fill="auto"/>
            <w:vAlign w:val="center"/>
          </w:tcPr>
          <w:p w:rsidR="00171D1D" w:rsidRPr="00592BA7" w:rsidRDefault="00171D1D" w:rsidP="00592BA7">
            <w:pPr>
              <w:jc w:val="both"/>
              <w:rPr>
                <w:rFonts w:ascii="Times New Roman" w:hAnsi="Times New Roman" w:cs="Times New Roman"/>
                <w:sz w:val="20"/>
                <w:szCs w:val="20"/>
              </w:rPr>
            </w:pPr>
          </w:p>
        </w:tc>
        <w:tc>
          <w:tcPr>
            <w:tcW w:w="707" w:type="dxa"/>
            <w:gridSpan w:val="3"/>
            <w:shd w:val="clear" w:color="auto" w:fill="auto"/>
            <w:noWrap/>
            <w:vAlign w:val="center"/>
          </w:tcPr>
          <w:p w:rsidR="00171D1D" w:rsidRPr="00592BA7" w:rsidRDefault="00171D1D" w:rsidP="00592BA7">
            <w:pPr>
              <w:jc w:val="both"/>
              <w:rPr>
                <w:rFonts w:ascii="Times New Roman" w:hAnsi="Times New Roman" w:cs="Times New Roman"/>
                <w:sz w:val="20"/>
                <w:szCs w:val="20"/>
              </w:rPr>
            </w:pPr>
          </w:p>
        </w:tc>
        <w:tc>
          <w:tcPr>
            <w:tcW w:w="708" w:type="dxa"/>
            <w:gridSpan w:val="2"/>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2034</w:t>
            </w:r>
          </w:p>
        </w:tc>
        <w:tc>
          <w:tcPr>
            <w:tcW w:w="709" w:type="dxa"/>
            <w:gridSpan w:val="3"/>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2034</w:t>
            </w:r>
          </w:p>
        </w:tc>
        <w:tc>
          <w:tcPr>
            <w:tcW w:w="567" w:type="dxa"/>
            <w:gridSpan w:val="2"/>
            <w:shd w:val="clear" w:color="auto" w:fill="auto"/>
            <w:vAlign w:val="center"/>
          </w:tcPr>
          <w:p w:rsidR="00171D1D" w:rsidRPr="00592BA7" w:rsidRDefault="00171D1D" w:rsidP="00592BA7">
            <w:pPr>
              <w:jc w:val="both"/>
              <w:rPr>
                <w:rFonts w:ascii="Times New Roman" w:hAnsi="Times New Roman" w:cs="Times New Roman"/>
                <w:sz w:val="20"/>
                <w:szCs w:val="20"/>
              </w:rPr>
            </w:pPr>
          </w:p>
        </w:tc>
        <w:tc>
          <w:tcPr>
            <w:tcW w:w="572" w:type="dxa"/>
            <w:gridSpan w:val="4"/>
            <w:shd w:val="clear" w:color="auto" w:fill="auto"/>
            <w:vAlign w:val="center"/>
          </w:tcPr>
          <w:p w:rsidR="00171D1D" w:rsidRPr="00592BA7" w:rsidRDefault="00171D1D" w:rsidP="00592BA7">
            <w:pPr>
              <w:jc w:val="both"/>
              <w:rPr>
                <w:rFonts w:ascii="Times New Roman" w:hAnsi="Times New Roman" w:cs="Times New Roman"/>
                <w:sz w:val="20"/>
                <w:szCs w:val="20"/>
              </w:rPr>
            </w:pPr>
          </w:p>
        </w:tc>
        <w:tc>
          <w:tcPr>
            <w:tcW w:w="571" w:type="dxa"/>
            <w:gridSpan w:val="3"/>
            <w:shd w:val="clear" w:color="auto" w:fill="auto"/>
            <w:vAlign w:val="center"/>
          </w:tcPr>
          <w:p w:rsidR="00171D1D" w:rsidRPr="00592BA7" w:rsidRDefault="00171D1D" w:rsidP="00592BA7">
            <w:pPr>
              <w:jc w:val="both"/>
              <w:rPr>
                <w:rFonts w:ascii="Times New Roman" w:hAnsi="Times New Roman" w:cs="Times New Roman"/>
                <w:sz w:val="20"/>
                <w:szCs w:val="20"/>
              </w:rPr>
            </w:pPr>
          </w:p>
        </w:tc>
        <w:tc>
          <w:tcPr>
            <w:tcW w:w="571" w:type="dxa"/>
            <w:gridSpan w:val="4"/>
            <w:shd w:val="clear" w:color="auto" w:fill="auto"/>
            <w:vAlign w:val="center"/>
          </w:tcPr>
          <w:p w:rsidR="00171D1D" w:rsidRPr="00592BA7" w:rsidRDefault="00171D1D" w:rsidP="00592BA7">
            <w:pPr>
              <w:jc w:val="both"/>
              <w:rPr>
                <w:rFonts w:ascii="Times New Roman" w:hAnsi="Times New Roman" w:cs="Times New Roman"/>
                <w:sz w:val="20"/>
                <w:szCs w:val="20"/>
              </w:rPr>
            </w:pPr>
          </w:p>
        </w:tc>
        <w:tc>
          <w:tcPr>
            <w:tcW w:w="577" w:type="dxa"/>
            <w:gridSpan w:val="2"/>
            <w:shd w:val="clear" w:color="auto" w:fill="auto"/>
            <w:noWrap/>
            <w:vAlign w:val="center"/>
          </w:tcPr>
          <w:p w:rsidR="00171D1D" w:rsidRPr="00592BA7" w:rsidRDefault="00171D1D" w:rsidP="00592BA7">
            <w:pPr>
              <w:jc w:val="both"/>
              <w:rPr>
                <w:rFonts w:ascii="Times New Roman" w:hAnsi="Times New Roman" w:cs="Times New Roman"/>
                <w:sz w:val="20"/>
                <w:szCs w:val="20"/>
              </w:rPr>
            </w:pPr>
          </w:p>
        </w:tc>
        <w:tc>
          <w:tcPr>
            <w:tcW w:w="698" w:type="dxa"/>
            <w:shd w:val="clear" w:color="auto" w:fill="auto"/>
            <w:noWrap/>
            <w:vAlign w:val="center"/>
          </w:tcPr>
          <w:p w:rsidR="00171D1D" w:rsidRPr="00592BA7" w:rsidRDefault="00171D1D" w:rsidP="00592BA7">
            <w:pPr>
              <w:jc w:val="both"/>
              <w:rPr>
                <w:rFonts w:ascii="Times New Roman" w:hAnsi="Times New Roman" w:cs="Times New Roman"/>
                <w:sz w:val="20"/>
                <w:szCs w:val="20"/>
              </w:rPr>
            </w:pPr>
          </w:p>
        </w:tc>
        <w:tc>
          <w:tcPr>
            <w:tcW w:w="708" w:type="dxa"/>
            <w:gridSpan w:val="2"/>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2034</w:t>
            </w:r>
          </w:p>
        </w:tc>
        <w:tc>
          <w:tcPr>
            <w:tcW w:w="994" w:type="dxa"/>
            <w:gridSpan w:val="2"/>
            <w:shd w:val="clear" w:color="auto" w:fill="auto"/>
            <w:vAlign w:val="center"/>
          </w:tcPr>
          <w:p w:rsidR="00171D1D" w:rsidRPr="00592BA7" w:rsidRDefault="00171D1D" w:rsidP="00592BA7">
            <w:pPr>
              <w:jc w:val="both"/>
              <w:rPr>
                <w:rFonts w:ascii="Times New Roman" w:hAnsi="Times New Roman" w:cs="Times New Roman"/>
                <w:sz w:val="20"/>
                <w:szCs w:val="20"/>
              </w:rPr>
            </w:pPr>
          </w:p>
        </w:tc>
        <w:tc>
          <w:tcPr>
            <w:tcW w:w="577" w:type="dxa"/>
            <w:gridSpan w:val="2"/>
            <w:shd w:val="clear" w:color="auto" w:fill="auto"/>
            <w:noWrap/>
            <w:vAlign w:val="bottom"/>
          </w:tcPr>
          <w:p w:rsidR="00171D1D" w:rsidRPr="00592BA7" w:rsidRDefault="00171D1D" w:rsidP="00592BA7">
            <w:pPr>
              <w:jc w:val="both"/>
              <w:rPr>
                <w:rFonts w:ascii="Times New Roman" w:hAnsi="Times New Roman" w:cs="Times New Roman"/>
                <w:sz w:val="20"/>
                <w:szCs w:val="20"/>
              </w:rPr>
            </w:pPr>
          </w:p>
        </w:tc>
        <w:tc>
          <w:tcPr>
            <w:tcW w:w="851"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Бюджет -100%</w:t>
            </w:r>
          </w:p>
        </w:tc>
      </w:tr>
      <w:tr w:rsidR="00171D1D" w:rsidRPr="00592BA7" w:rsidTr="00592BA7">
        <w:trPr>
          <w:trHeight w:val="20"/>
        </w:trPr>
        <w:tc>
          <w:tcPr>
            <w:tcW w:w="15906" w:type="dxa"/>
            <w:gridSpan w:val="41"/>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1.2. Строительство иных объектов централизованных систем водоотведения за исключением сетей водоотведения</w:t>
            </w:r>
          </w:p>
        </w:tc>
      </w:tr>
      <w:tr w:rsidR="00171D1D" w:rsidRPr="00592BA7" w:rsidTr="00592BA7">
        <w:trPr>
          <w:trHeight w:val="20"/>
        </w:trPr>
        <w:tc>
          <w:tcPr>
            <w:tcW w:w="594" w:type="dxa"/>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1.2.1</w:t>
            </w:r>
          </w:p>
        </w:tc>
        <w:tc>
          <w:tcPr>
            <w:tcW w:w="2396"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Проектирование канализационных </w:t>
            </w:r>
            <w:r w:rsidRPr="00592BA7">
              <w:rPr>
                <w:rFonts w:ascii="Times New Roman" w:hAnsi="Times New Roman" w:cs="Times New Roman"/>
                <w:sz w:val="20"/>
                <w:szCs w:val="20"/>
              </w:rPr>
              <w:lastRenderedPageBreak/>
              <w:t xml:space="preserve">очистных станций </w:t>
            </w:r>
          </w:p>
        </w:tc>
        <w:tc>
          <w:tcPr>
            <w:tcW w:w="1415" w:type="dxa"/>
            <w:gridSpan w:val="2"/>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 xml:space="preserve">В соответствии </w:t>
            </w:r>
            <w:r w:rsidRPr="00592BA7">
              <w:rPr>
                <w:rFonts w:ascii="Times New Roman" w:hAnsi="Times New Roman" w:cs="Times New Roman"/>
                <w:sz w:val="20"/>
                <w:szCs w:val="20"/>
              </w:rPr>
              <w:lastRenderedPageBreak/>
              <w:t>с Схемой водоотведения</w:t>
            </w:r>
          </w:p>
        </w:tc>
        <w:tc>
          <w:tcPr>
            <w:tcW w:w="1416" w:type="dxa"/>
            <w:gridSpan w:val="4"/>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 xml:space="preserve">д. Шумерля, п. Кабаново, </w:t>
            </w:r>
            <w:r w:rsidRPr="00592BA7">
              <w:rPr>
                <w:rFonts w:ascii="Times New Roman" w:hAnsi="Times New Roman" w:cs="Times New Roman"/>
                <w:sz w:val="20"/>
                <w:szCs w:val="20"/>
              </w:rPr>
              <w:lastRenderedPageBreak/>
              <w:t xml:space="preserve">с. Большие Алгаши, с. Русские Алгаши, д. Чувашские Алгаши, п. Мыслец, д. Нижняя Кумашка, д. Петропавловск, д. Торханы, д. Чертаганы, д. Малые Туваны, с. Туваны, с. Ходары, д. Егоркино, с. Юманаи, д. </w:t>
            </w:r>
            <w:r w:rsidRPr="00592BA7">
              <w:rPr>
                <w:rFonts w:ascii="Times New Roman" w:hAnsi="Times New Roman" w:cs="Times New Roman"/>
                <w:sz w:val="20"/>
                <w:szCs w:val="20"/>
              </w:rPr>
              <w:lastRenderedPageBreak/>
              <w:t>Кадеркино</w:t>
            </w:r>
          </w:p>
        </w:tc>
        <w:tc>
          <w:tcPr>
            <w:tcW w:w="1275" w:type="dxa"/>
            <w:gridSpan w:val="2"/>
            <w:shd w:val="clear" w:color="auto" w:fill="auto"/>
            <w:vAlign w:val="center"/>
          </w:tcPr>
          <w:p w:rsidR="00171D1D" w:rsidRPr="00592BA7" w:rsidRDefault="00171D1D" w:rsidP="00592BA7">
            <w:pPr>
              <w:jc w:val="both"/>
              <w:rPr>
                <w:rFonts w:ascii="Times New Roman" w:hAnsi="Times New Roman" w:cs="Times New Roman"/>
                <w:sz w:val="20"/>
                <w:szCs w:val="20"/>
              </w:rPr>
            </w:pPr>
          </w:p>
        </w:tc>
        <w:tc>
          <w:tcPr>
            <w:tcW w:w="707" w:type="dxa"/>
            <w:gridSpan w:val="3"/>
            <w:shd w:val="clear" w:color="auto" w:fill="auto"/>
            <w:noWrap/>
            <w:vAlign w:val="center"/>
          </w:tcPr>
          <w:p w:rsidR="00171D1D" w:rsidRPr="00592BA7" w:rsidRDefault="00171D1D" w:rsidP="00592BA7">
            <w:pPr>
              <w:jc w:val="both"/>
              <w:rPr>
                <w:rFonts w:ascii="Times New Roman" w:hAnsi="Times New Roman" w:cs="Times New Roman"/>
                <w:sz w:val="20"/>
                <w:szCs w:val="20"/>
              </w:rPr>
            </w:pPr>
          </w:p>
        </w:tc>
        <w:tc>
          <w:tcPr>
            <w:tcW w:w="708" w:type="dxa"/>
            <w:gridSpan w:val="2"/>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2024</w:t>
            </w:r>
          </w:p>
        </w:tc>
        <w:tc>
          <w:tcPr>
            <w:tcW w:w="709" w:type="dxa"/>
            <w:gridSpan w:val="3"/>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2024</w:t>
            </w:r>
          </w:p>
        </w:tc>
        <w:tc>
          <w:tcPr>
            <w:tcW w:w="567" w:type="dxa"/>
            <w:gridSpan w:val="2"/>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0,5</w:t>
            </w:r>
          </w:p>
        </w:tc>
        <w:tc>
          <w:tcPr>
            <w:tcW w:w="572" w:type="dxa"/>
            <w:gridSpan w:val="4"/>
            <w:shd w:val="clear" w:color="auto" w:fill="auto"/>
            <w:vAlign w:val="center"/>
          </w:tcPr>
          <w:p w:rsidR="00171D1D" w:rsidRPr="00592BA7" w:rsidRDefault="00171D1D" w:rsidP="00592BA7">
            <w:pPr>
              <w:jc w:val="both"/>
              <w:rPr>
                <w:rFonts w:ascii="Times New Roman" w:hAnsi="Times New Roman" w:cs="Times New Roman"/>
                <w:sz w:val="20"/>
                <w:szCs w:val="20"/>
              </w:rPr>
            </w:pPr>
          </w:p>
        </w:tc>
        <w:tc>
          <w:tcPr>
            <w:tcW w:w="571" w:type="dxa"/>
            <w:gridSpan w:val="3"/>
            <w:shd w:val="clear" w:color="auto" w:fill="auto"/>
            <w:vAlign w:val="center"/>
          </w:tcPr>
          <w:p w:rsidR="00171D1D" w:rsidRPr="00592BA7" w:rsidRDefault="00171D1D" w:rsidP="00592BA7">
            <w:pPr>
              <w:jc w:val="both"/>
              <w:rPr>
                <w:rFonts w:ascii="Times New Roman" w:hAnsi="Times New Roman" w:cs="Times New Roman"/>
                <w:sz w:val="20"/>
                <w:szCs w:val="20"/>
              </w:rPr>
            </w:pPr>
          </w:p>
        </w:tc>
        <w:tc>
          <w:tcPr>
            <w:tcW w:w="571" w:type="dxa"/>
            <w:gridSpan w:val="4"/>
            <w:shd w:val="clear" w:color="auto" w:fill="auto"/>
            <w:vAlign w:val="center"/>
          </w:tcPr>
          <w:p w:rsidR="00171D1D" w:rsidRPr="00592BA7" w:rsidRDefault="00171D1D" w:rsidP="00592BA7">
            <w:pPr>
              <w:jc w:val="both"/>
              <w:rPr>
                <w:rFonts w:ascii="Times New Roman" w:hAnsi="Times New Roman" w:cs="Times New Roman"/>
                <w:sz w:val="20"/>
                <w:szCs w:val="20"/>
              </w:rPr>
            </w:pPr>
          </w:p>
        </w:tc>
        <w:tc>
          <w:tcPr>
            <w:tcW w:w="577" w:type="dxa"/>
            <w:gridSpan w:val="2"/>
            <w:shd w:val="clear" w:color="auto" w:fill="auto"/>
            <w:noWrap/>
            <w:vAlign w:val="center"/>
          </w:tcPr>
          <w:p w:rsidR="00171D1D" w:rsidRPr="00592BA7" w:rsidRDefault="00171D1D" w:rsidP="00592BA7">
            <w:pPr>
              <w:jc w:val="both"/>
              <w:rPr>
                <w:rFonts w:ascii="Times New Roman" w:hAnsi="Times New Roman" w:cs="Times New Roman"/>
                <w:sz w:val="20"/>
                <w:szCs w:val="20"/>
              </w:rPr>
            </w:pPr>
          </w:p>
        </w:tc>
        <w:tc>
          <w:tcPr>
            <w:tcW w:w="698" w:type="dxa"/>
            <w:shd w:val="clear" w:color="auto" w:fill="auto"/>
            <w:noWrap/>
            <w:vAlign w:val="center"/>
          </w:tcPr>
          <w:p w:rsidR="00171D1D" w:rsidRPr="00592BA7" w:rsidRDefault="00171D1D" w:rsidP="00592BA7">
            <w:pPr>
              <w:jc w:val="both"/>
              <w:rPr>
                <w:rFonts w:ascii="Times New Roman" w:hAnsi="Times New Roman" w:cs="Times New Roman"/>
                <w:sz w:val="20"/>
                <w:szCs w:val="20"/>
              </w:rPr>
            </w:pPr>
          </w:p>
        </w:tc>
        <w:tc>
          <w:tcPr>
            <w:tcW w:w="708" w:type="dxa"/>
            <w:gridSpan w:val="2"/>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2024</w:t>
            </w:r>
          </w:p>
        </w:tc>
        <w:tc>
          <w:tcPr>
            <w:tcW w:w="994" w:type="dxa"/>
            <w:gridSpan w:val="2"/>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0,5</w:t>
            </w:r>
          </w:p>
        </w:tc>
        <w:tc>
          <w:tcPr>
            <w:tcW w:w="577" w:type="dxa"/>
            <w:gridSpan w:val="2"/>
            <w:shd w:val="clear" w:color="auto" w:fill="auto"/>
            <w:noWrap/>
            <w:vAlign w:val="bottom"/>
          </w:tcPr>
          <w:p w:rsidR="00171D1D" w:rsidRPr="00592BA7" w:rsidRDefault="00171D1D" w:rsidP="00592BA7">
            <w:pPr>
              <w:jc w:val="both"/>
              <w:rPr>
                <w:rFonts w:ascii="Times New Roman" w:hAnsi="Times New Roman" w:cs="Times New Roman"/>
                <w:sz w:val="20"/>
                <w:szCs w:val="20"/>
              </w:rPr>
            </w:pPr>
          </w:p>
        </w:tc>
        <w:tc>
          <w:tcPr>
            <w:tcW w:w="851"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Бюджет -</w:t>
            </w:r>
            <w:r w:rsidRPr="00592BA7">
              <w:rPr>
                <w:rFonts w:ascii="Times New Roman" w:hAnsi="Times New Roman" w:cs="Times New Roman"/>
                <w:sz w:val="20"/>
                <w:szCs w:val="20"/>
              </w:rPr>
              <w:lastRenderedPageBreak/>
              <w:t>100%</w:t>
            </w:r>
          </w:p>
        </w:tc>
      </w:tr>
      <w:tr w:rsidR="00171D1D" w:rsidRPr="00592BA7" w:rsidTr="00592BA7">
        <w:trPr>
          <w:trHeight w:val="20"/>
        </w:trPr>
        <w:tc>
          <w:tcPr>
            <w:tcW w:w="594" w:type="dxa"/>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1.2.2</w:t>
            </w:r>
          </w:p>
        </w:tc>
        <w:tc>
          <w:tcPr>
            <w:tcW w:w="2396"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Строительство КОС</w:t>
            </w:r>
          </w:p>
        </w:tc>
        <w:tc>
          <w:tcPr>
            <w:tcW w:w="1415" w:type="dxa"/>
            <w:gridSpan w:val="2"/>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В соответствии с Схемой водоотведения</w:t>
            </w:r>
          </w:p>
        </w:tc>
        <w:tc>
          <w:tcPr>
            <w:tcW w:w="1416" w:type="dxa"/>
            <w:gridSpan w:val="4"/>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 Юманаи</w:t>
            </w:r>
          </w:p>
        </w:tc>
        <w:tc>
          <w:tcPr>
            <w:tcW w:w="1275" w:type="dxa"/>
            <w:gridSpan w:val="2"/>
            <w:shd w:val="clear" w:color="auto" w:fill="auto"/>
            <w:vAlign w:val="center"/>
          </w:tcPr>
          <w:p w:rsidR="00171D1D" w:rsidRPr="00592BA7" w:rsidRDefault="00171D1D" w:rsidP="00592BA7">
            <w:pPr>
              <w:jc w:val="both"/>
              <w:rPr>
                <w:rFonts w:ascii="Times New Roman" w:hAnsi="Times New Roman" w:cs="Times New Roman"/>
                <w:sz w:val="20"/>
                <w:szCs w:val="20"/>
              </w:rPr>
            </w:pPr>
          </w:p>
        </w:tc>
        <w:tc>
          <w:tcPr>
            <w:tcW w:w="707" w:type="dxa"/>
            <w:gridSpan w:val="3"/>
            <w:shd w:val="clear" w:color="auto" w:fill="auto"/>
            <w:noWrap/>
            <w:vAlign w:val="center"/>
          </w:tcPr>
          <w:p w:rsidR="00171D1D" w:rsidRPr="00592BA7" w:rsidRDefault="00171D1D" w:rsidP="00592BA7">
            <w:pPr>
              <w:jc w:val="both"/>
              <w:rPr>
                <w:rFonts w:ascii="Times New Roman" w:hAnsi="Times New Roman" w:cs="Times New Roman"/>
                <w:sz w:val="20"/>
                <w:szCs w:val="20"/>
              </w:rPr>
            </w:pPr>
          </w:p>
        </w:tc>
        <w:tc>
          <w:tcPr>
            <w:tcW w:w="708" w:type="dxa"/>
            <w:gridSpan w:val="2"/>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2032</w:t>
            </w:r>
          </w:p>
        </w:tc>
        <w:tc>
          <w:tcPr>
            <w:tcW w:w="709" w:type="dxa"/>
            <w:gridSpan w:val="3"/>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2032</w:t>
            </w:r>
          </w:p>
        </w:tc>
        <w:tc>
          <w:tcPr>
            <w:tcW w:w="567" w:type="dxa"/>
            <w:gridSpan w:val="2"/>
            <w:shd w:val="clear" w:color="auto" w:fill="auto"/>
            <w:vAlign w:val="center"/>
          </w:tcPr>
          <w:p w:rsidR="00171D1D" w:rsidRPr="00592BA7" w:rsidRDefault="00171D1D" w:rsidP="00592BA7">
            <w:pPr>
              <w:jc w:val="both"/>
              <w:rPr>
                <w:rFonts w:ascii="Times New Roman" w:hAnsi="Times New Roman" w:cs="Times New Roman"/>
                <w:sz w:val="20"/>
                <w:szCs w:val="20"/>
              </w:rPr>
            </w:pPr>
          </w:p>
        </w:tc>
        <w:tc>
          <w:tcPr>
            <w:tcW w:w="572" w:type="dxa"/>
            <w:gridSpan w:val="4"/>
            <w:shd w:val="clear" w:color="auto" w:fill="auto"/>
            <w:vAlign w:val="center"/>
          </w:tcPr>
          <w:p w:rsidR="00171D1D" w:rsidRPr="00592BA7" w:rsidRDefault="00171D1D" w:rsidP="00592BA7">
            <w:pPr>
              <w:jc w:val="both"/>
              <w:rPr>
                <w:rFonts w:ascii="Times New Roman" w:hAnsi="Times New Roman" w:cs="Times New Roman"/>
                <w:sz w:val="20"/>
                <w:szCs w:val="20"/>
              </w:rPr>
            </w:pPr>
          </w:p>
        </w:tc>
        <w:tc>
          <w:tcPr>
            <w:tcW w:w="571" w:type="dxa"/>
            <w:gridSpan w:val="3"/>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w:t>
            </w:r>
          </w:p>
        </w:tc>
        <w:tc>
          <w:tcPr>
            <w:tcW w:w="571" w:type="dxa"/>
            <w:gridSpan w:val="4"/>
            <w:shd w:val="clear" w:color="auto" w:fill="auto"/>
            <w:vAlign w:val="center"/>
          </w:tcPr>
          <w:p w:rsidR="00171D1D" w:rsidRPr="00592BA7" w:rsidRDefault="00171D1D" w:rsidP="00592BA7">
            <w:pPr>
              <w:jc w:val="both"/>
              <w:rPr>
                <w:rFonts w:ascii="Times New Roman" w:hAnsi="Times New Roman" w:cs="Times New Roman"/>
                <w:sz w:val="20"/>
                <w:szCs w:val="20"/>
              </w:rPr>
            </w:pPr>
          </w:p>
        </w:tc>
        <w:tc>
          <w:tcPr>
            <w:tcW w:w="577" w:type="dxa"/>
            <w:gridSpan w:val="2"/>
            <w:shd w:val="clear" w:color="auto" w:fill="auto"/>
            <w:noWrap/>
            <w:vAlign w:val="center"/>
          </w:tcPr>
          <w:p w:rsidR="00171D1D" w:rsidRPr="00592BA7" w:rsidRDefault="00171D1D" w:rsidP="00592BA7">
            <w:pPr>
              <w:jc w:val="both"/>
              <w:rPr>
                <w:rFonts w:ascii="Times New Roman" w:hAnsi="Times New Roman" w:cs="Times New Roman"/>
                <w:sz w:val="20"/>
                <w:szCs w:val="20"/>
              </w:rPr>
            </w:pPr>
          </w:p>
        </w:tc>
        <w:tc>
          <w:tcPr>
            <w:tcW w:w="698" w:type="dxa"/>
            <w:shd w:val="clear" w:color="auto" w:fill="auto"/>
            <w:noWrap/>
            <w:vAlign w:val="center"/>
          </w:tcPr>
          <w:p w:rsidR="00171D1D" w:rsidRPr="00592BA7" w:rsidRDefault="00171D1D" w:rsidP="00592BA7">
            <w:pPr>
              <w:jc w:val="both"/>
              <w:rPr>
                <w:rFonts w:ascii="Times New Roman" w:hAnsi="Times New Roman" w:cs="Times New Roman"/>
                <w:sz w:val="20"/>
                <w:szCs w:val="20"/>
              </w:rPr>
            </w:pPr>
          </w:p>
        </w:tc>
        <w:tc>
          <w:tcPr>
            <w:tcW w:w="708" w:type="dxa"/>
            <w:gridSpan w:val="2"/>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2032</w:t>
            </w:r>
          </w:p>
        </w:tc>
        <w:tc>
          <w:tcPr>
            <w:tcW w:w="994" w:type="dxa"/>
            <w:gridSpan w:val="2"/>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w:t>
            </w:r>
          </w:p>
        </w:tc>
        <w:tc>
          <w:tcPr>
            <w:tcW w:w="577" w:type="dxa"/>
            <w:gridSpan w:val="2"/>
            <w:shd w:val="clear" w:color="auto" w:fill="auto"/>
            <w:noWrap/>
            <w:vAlign w:val="bottom"/>
          </w:tcPr>
          <w:p w:rsidR="00171D1D" w:rsidRPr="00592BA7" w:rsidRDefault="00171D1D" w:rsidP="00592BA7">
            <w:pPr>
              <w:jc w:val="both"/>
              <w:rPr>
                <w:rFonts w:ascii="Times New Roman" w:hAnsi="Times New Roman" w:cs="Times New Roman"/>
                <w:sz w:val="20"/>
                <w:szCs w:val="20"/>
              </w:rPr>
            </w:pPr>
          </w:p>
        </w:tc>
        <w:tc>
          <w:tcPr>
            <w:tcW w:w="851"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Бюджет -100%</w:t>
            </w:r>
          </w:p>
        </w:tc>
      </w:tr>
      <w:tr w:rsidR="00171D1D" w:rsidRPr="00592BA7" w:rsidTr="00592BA7">
        <w:trPr>
          <w:trHeight w:val="20"/>
        </w:trPr>
        <w:tc>
          <w:tcPr>
            <w:tcW w:w="15906" w:type="dxa"/>
            <w:gridSpan w:val="41"/>
            <w:shd w:val="clear" w:color="auto" w:fill="auto"/>
            <w:noWrap/>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Не планируется</w:t>
            </w:r>
          </w:p>
        </w:tc>
      </w:tr>
      <w:tr w:rsidR="00171D1D" w:rsidRPr="00592BA7" w:rsidTr="00592BA7">
        <w:trPr>
          <w:trHeight w:val="20"/>
        </w:trPr>
        <w:tc>
          <w:tcPr>
            <w:tcW w:w="15906" w:type="dxa"/>
            <w:gridSpan w:val="41"/>
            <w:shd w:val="clear" w:color="auto" w:fill="auto"/>
            <w:noWrap/>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1.3. Увеличение пропускной способности существующих сетей водоотведения в целях подключения объектов капитального строительства абонентов</w:t>
            </w:r>
          </w:p>
        </w:tc>
      </w:tr>
      <w:tr w:rsidR="00171D1D" w:rsidRPr="00592BA7" w:rsidTr="00592BA7">
        <w:trPr>
          <w:trHeight w:val="20"/>
        </w:trPr>
        <w:tc>
          <w:tcPr>
            <w:tcW w:w="15906" w:type="dxa"/>
            <w:gridSpan w:val="41"/>
            <w:shd w:val="clear" w:color="auto" w:fill="auto"/>
            <w:noWrap/>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Не планируется</w:t>
            </w:r>
          </w:p>
        </w:tc>
      </w:tr>
      <w:tr w:rsidR="00171D1D" w:rsidRPr="00592BA7" w:rsidTr="00592BA7">
        <w:trPr>
          <w:trHeight w:val="20"/>
        </w:trPr>
        <w:tc>
          <w:tcPr>
            <w:tcW w:w="15906" w:type="dxa"/>
            <w:gridSpan w:val="41"/>
            <w:shd w:val="clear" w:color="auto" w:fill="auto"/>
            <w:noWrap/>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1.4. Увеличение мощности и производительности существующих объектов централизованных систем водоотведения, за исключением сетей водоотведения </w:t>
            </w:r>
          </w:p>
        </w:tc>
      </w:tr>
      <w:tr w:rsidR="00171D1D" w:rsidRPr="00592BA7" w:rsidTr="00592BA7">
        <w:trPr>
          <w:trHeight w:val="20"/>
        </w:trPr>
        <w:tc>
          <w:tcPr>
            <w:tcW w:w="15906" w:type="dxa"/>
            <w:gridSpan w:val="41"/>
            <w:shd w:val="clear" w:color="auto" w:fill="auto"/>
            <w:noWrap/>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Не планируется</w:t>
            </w:r>
          </w:p>
        </w:tc>
      </w:tr>
      <w:tr w:rsidR="00171D1D" w:rsidRPr="00592BA7" w:rsidTr="00592BA7">
        <w:trPr>
          <w:trHeight w:val="20"/>
        </w:trPr>
        <w:tc>
          <w:tcPr>
            <w:tcW w:w="594" w:type="dxa"/>
            <w:shd w:val="clear" w:color="auto" w:fill="auto"/>
            <w:noWrap/>
            <w:vAlign w:val="center"/>
          </w:tcPr>
          <w:p w:rsidR="00171D1D" w:rsidRPr="00592BA7" w:rsidRDefault="00171D1D" w:rsidP="00592BA7">
            <w:pPr>
              <w:jc w:val="both"/>
              <w:rPr>
                <w:rFonts w:ascii="Times New Roman" w:hAnsi="Times New Roman" w:cs="Times New Roman"/>
                <w:sz w:val="20"/>
                <w:szCs w:val="20"/>
              </w:rPr>
            </w:pPr>
          </w:p>
        </w:tc>
        <w:tc>
          <w:tcPr>
            <w:tcW w:w="8626" w:type="dxa"/>
            <w:gridSpan w:val="17"/>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Итого по группе 1 системы водоотведения</w:t>
            </w:r>
          </w:p>
        </w:tc>
        <w:tc>
          <w:tcPr>
            <w:tcW w:w="567" w:type="dxa"/>
            <w:gridSpan w:val="2"/>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0,5</w:t>
            </w:r>
          </w:p>
        </w:tc>
        <w:tc>
          <w:tcPr>
            <w:tcW w:w="572" w:type="dxa"/>
            <w:gridSpan w:val="4"/>
            <w:shd w:val="clear" w:color="auto" w:fill="auto"/>
            <w:vAlign w:val="center"/>
          </w:tcPr>
          <w:p w:rsidR="00171D1D" w:rsidRPr="00592BA7" w:rsidRDefault="00171D1D" w:rsidP="00592BA7">
            <w:pPr>
              <w:jc w:val="both"/>
              <w:rPr>
                <w:rFonts w:ascii="Times New Roman" w:hAnsi="Times New Roman" w:cs="Times New Roman"/>
                <w:sz w:val="20"/>
                <w:szCs w:val="20"/>
              </w:rPr>
            </w:pPr>
          </w:p>
        </w:tc>
        <w:tc>
          <w:tcPr>
            <w:tcW w:w="571" w:type="dxa"/>
            <w:gridSpan w:val="3"/>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w:t>
            </w:r>
          </w:p>
        </w:tc>
        <w:tc>
          <w:tcPr>
            <w:tcW w:w="571" w:type="dxa"/>
            <w:gridSpan w:val="4"/>
            <w:shd w:val="clear" w:color="auto" w:fill="auto"/>
            <w:vAlign w:val="center"/>
          </w:tcPr>
          <w:p w:rsidR="00171D1D" w:rsidRPr="00592BA7" w:rsidRDefault="00171D1D" w:rsidP="00592BA7">
            <w:pPr>
              <w:jc w:val="both"/>
              <w:rPr>
                <w:rFonts w:ascii="Times New Roman" w:hAnsi="Times New Roman" w:cs="Times New Roman"/>
                <w:sz w:val="20"/>
                <w:szCs w:val="20"/>
              </w:rPr>
            </w:pPr>
          </w:p>
        </w:tc>
        <w:tc>
          <w:tcPr>
            <w:tcW w:w="577" w:type="dxa"/>
            <w:gridSpan w:val="2"/>
            <w:shd w:val="clear" w:color="auto" w:fill="auto"/>
            <w:noWrap/>
            <w:vAlign w:val="center"/>
          </w:tcPr>
          <w:p w:rsidR="00171D1D" w:rsidRPr="00592BA7" w:rsidRDefault="00171D1D" w:rsidP="00592BA7">
            <w:pPr>
              <w:jc w:val="both"/>
              <w:rPr>
                <w:rFonts w:ascii="Times New Roman" w:hAnsi="Times New Roman" w:cs="Times New Roman"/>
                <w:sz w:val="20"/>
                <w:szCs w:val="20"/>
              </w:rPr>
            </w:pPr>
          </w:p>
        </w:tc>
        <w:tc>
          <w:tcPr>
            <w:tcW w:w="698" w:type="dxa"/>
            <w:shd w:val="clear" w:color="auto" w:fill="auto"/>
            <w:noWrap/>
            <w:vAlign w:val="center"/>
          </w:tcPr>
          <w:p w:rsidR="00171D1D" w:rsidRPr="00592BA7" w:rsidRDefault="00171D1D" w:rsidP="00592BA7">
            <w:pPr>
              <w:jc w:val="both"/>
              <w:rPr>
                <w:rFonts w:ascii="Times New Roman" w:hAnsi="Times New Roman" w:cs="Times New Roman"/>
                <w:sz w:val="20"/>
                <w:szCs w:val="20"/>
              </w:rPr>
            </w:pPr>
          </w:p>
        </w:tc>
        <w:tc>
          <w:tcPr>
            <w:tcW w:w="708" w:type="dxa"/>
            <w:gridSpan w:val="2"/>
            <w:shd w:val="clear" w:color="auto" w:fill="auto"/>
            <w:noWrap/>
            <w:vAlign w:val="center"/>
          </w:tcPr>
          <w:p w:rsidR="00171D1D" w:rsidRPr="00592BA7" w:rsidRDefault="00171D1D" w:rsidP="00592BA7">
            <w:pPr>
              <w:jc w:val="both"/>
              <w:rPr>
                <w:rFonts w:ascii="Times New Roman" w:hAnsi="Times New Roman" w:cs="Times New Roman"/>
                <w:sz w:val="20"/>
                <w:szCs w:val="20"/>
              </w:rPr>
            </w:pPr>
          </w:p>
        </w:tc>
        <w:tc>
          <w:tcPr>
            <w:tcW w:w="994" w:type="dxa"/>
            <w:gridSpan w:val="2"/>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10,5</w:t>
            </w:r>
          </w:p>
        </w:tc>
        <w:tc>
          <w:tcPr>
            <w:tcW w:w="577" w:type="dxa"/>
            <w:gridSpan w:val="2"/>
            <w:shd w:val="clear" w:color="auto" w:fill="auto"/>
            <w:noWrap/>
            <w:vAlign w:val="bottom"/>
          </w:tcPr>
          <w:p w:rsidR="00171D1D" w:rsidRPr="00592BA7" w:rsidRDefault="00171D1D" w:rsidP="00592BA7">
            <w:pPr>
              <w:jc w:val="both"/>
              <w:rPr>
                <w:rFonts w:ascii="Times New Roman" w:hAnsi="Times New Roman" w:cs="Times New Roman"/>
                <w:sz w:val="20"/>
                <w:szCs w:val="20"/>
              </w:rPr>
            </w:pPr>
          </w:p>
        </w:tc>
        <w:tc>
          <w:tcPr>
            <w:tcW w:w="851" w:type="dxa"/>
            <w:shd w:val="clear" w:color="auto" w:fill="auto"/>
            <w:vAlign w:val="center"/>
          </w:tcPr>
          <w:p w:rsidR="00171D1D" w:rsidRPr="00592BA7" w:rsidRDefault="00171D1D" w:rsidP="00592BA7">
            <w:pPr>
              <w:jc w:val="both"/>
              <w:rPr>
                <w:rFonts w:ascii="Times New Roman" w:hAnsi="Times New Roman" w:cs="Times New Roman"/>
                <w:sz w:val="20"/>
                <w:szCs w:val="20"/>
              </w:rPr>
            </w:pPr>
          </w:p>
        </w:tc>
      </w:tr>
      <w:tr w:rsidR="00171D1D" w:rsidRPr="00592BA7" w:rsidTr="00592BA7">
        <w:trPr>
          <w:trHeight w:val="20"/>
        </w:trPr>
        <w:tc>
          <w:tcPr>
            <w:tcW w:w="15906" w:type="dxa"/>
            <w:gridSpan w:val="41"/>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Группа 2. Строительство новых объектов централизованных систем водоотведения не связанных с подключением новых объектов капитального строительства абонентов</w:t>
            </w:r>
          </w:p>
        </w:tc>
      </w:tr>
      <w:tr w:rsidR="00171D1D" w:rsidRPr="00592BA7" w:rsidTr="00592BA7">
        <w:trPr>
          <w:trHeight w:val="20"/>
        </w:trPr>
        <w:tc>
          <w:tcPr>
            <w:tcW w:w="15906" w:type="dxa"/>
            <w:gridSpan w:val="41"/>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2.1. Строительство новых сетей водоотведения</w:t>
            </w:r>
          </w:p>
        </w:tc>
      </w:tr>
      <w:tr w:rsidR="00171D1D" w:rsidRPr="00592BA7" w:rsidTr="00592BA7">
        <w:trPr>
          <w:trHeight w:val="20"/>
        </w:trPr>
        <w:tc>
          <w:tcPr>
            <w:tcW w:w="15906" w:type="dxa"/>
            <w:gridSpan w:val="41"/>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Не планируется</w:t>
            </w:r>
          </w:p>
        </w:tc>
      </w:tr>
      <w:tr w:rsidR="00171D1D" w:rsidRPr="00592BA7" w:rsidTr="00592BA7">
        <w:trPr>
          <w:trHeight w:val="20"/>
        </w:trPr>
        <w:tc>
          <w:tcPr>
            <w:tcW w:w="15906" w:type="dxa"/>
            <w:gridSpan w:val="41"/>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2.2. Строительство иных объектов централизованных систем водоотведения за исключением сетей водоотведения</w:t>
            </w:r>
          </w:p>
        </w:tc>
      </w:tr>
      <w:tr w:rsidR="00171D1D" w:rsidRPr="00592BA7" w:rsidTr="00592BA7">
        <w:trPr>
          <w:trHeight w:val="20"/>
        </w:trPr>
        <w:tc>
          <w:tcPr>
            <w:tcW w:w="594" w:type="dxa"/>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2.2.1</w:t>
            </w:r>
          </w:p>
        </w:tc>
        <w:tc>
          <w:tcPr>
            <w:tcW w:w="2396"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Установка узлов учета принимаемых стоков на очистные сооружения</w:t>
            </w:r>
          </w:p>
        </w:tc>
        <w:tc>
          <w:tcPr>
            <w:tcW w:w="1415" w:type="dxa"/>
            <w:gridSpan w:val="2"/>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В соответствии с Схемой водоотведения</w:t>
            </w:r>
          </w:p>
        </w:tc>
        <w:tc>
          <w:tcPr>
            <w:tcW w:w="1416" w:type="dxa"/>
            <w:gridSpan w:val="4"/>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Шумерлинский муниципальный округ</w:t>
            </w:r>
          </w:p>
        </w:tc>
        <w:tc>
          <w:tcPr>
            <w:tcW w:w="1275" w:type="dxa"/>
            <w:gridSpan w:val="2"/>
            <w:shd w:val="clear" w:color="auto" w:fill="auto"/>
            <w:vAlign w:val="center"/>
          </w:tcPr>
          <w:p w:rsidR="00171D1D" w:rsidRPr="00592BA7" w:rsidRDefault="00171D1D" w:rsidP="00592BA7">
            <w:pPr>
              <w:jc w:val="both"/>
              <w:rPr>
                <w:rFonts w:ascii="Times New Roman" w:hAnsi="Times New Roman" w:cs="Times New Roman"/>
                <w:sz w:val="20"/>
                <w:szCs w:val="20"/>
              </w:rPr>
            </w:pPr>
          </w:p>
        </w:tc>
        <w:tc>
          <w:tcPr>
            <w:tcW w:w="707" w:type="dxa"/>
            <w:gridSpan w:val="3"/>
            <w:shd w:val="clear" w:color="auto" w:fill="auto"/>
            <w:noWrap/>
            <w:vAlign w:val="center"/>
          </w:tcPr>
          <w:p w:rsidR="00171D1D" w:rsidRPr="00592BA7" w:rsidRDefault="00171D1D" w:rsidP="00592BA7">
            <w:pPr>
              <w:jc w:val="both"/>
              <w:rPr>
                <w:rFonts w:ascii="Times New Roman" w:hAnsi="Times New Roman" w:cs="Times New Roman"/>
                <w:sz w:val="20"/>
                <w:szCs w:val="20"/>
              </w:rPr>
            </w:pPr>
          </w:p>
        </w:tc>
        <w:tc>
          <w:tcPr>
            <w:tcW w:w="708" w:type="dxa"/>
            <w:gridSpan w:val="2"/>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2032</w:t>
            </w:r>
          </w:p>
        </w:tc>
        <w:tc>
          <w:tcPr>
            <w:tcW w:w="709" w:type="dxa"/>
            <w:gridSpan w:val="3"/>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2032</w:t>
            </w:r>
          </w:p>
        </w:tc>
        <w:tc>
          <w:tcPr>
            <w:tcW w:w="567" w:type="dxa"/>
            <w:gridSpan w:val="2"/>
            <w:shd w:val="clear" w:color="auto" w:fill="auto"/>
            <w:vAlign w:val="center"/>
          </w:tcPr>
          <w:p w:rsidR="00171D1D" w:rsidRPr="00592BA7" w:rsidRDefault="00171D1D" w:rsidP="00592BA7">
            <w:pPr>
              <w:jc w:val="both"/>
              <w:rPr>
                <w:rFonts w:ascii="Times New Roman" w:hAnsi="Times New Roman" w:cs="Times New Roman"/>
                <w:sz w:val="20"/>
                <w:szCs w:val="20"/>
              </w:rPr>
            </w:pPr>
          </w:p>
        </w:tc>
        <w:tc>
          <w:tcPr>
            <w:tcW w:w="572" w:type="dxa"/>
            <w:gridSpan w:val="4"/>
            <w:shd w:val="clear" w:color="auto" w:fill="auto"/>
            <w:vAlign w:val="center"/>
          </w:tcPr>
          <w:p w:rsidR="00171D1D" w:rsidRPr="00592BA7" w:rsidRDefault="00171D1D" w:rsidP="00592BA7">
            <w:pPr>
              <w:jc w:val="both"/>
              <w:rPr>
                <w:rFonts w:ascii="Times New Roman" w:hAnsi="Times New Roman" w:cs="Times New Roman"/>
                <w:sz w:val="20"/>
                <w:szCs w:val="20"/>
              </w:rPr>
            </w:pPr>
          </w:p>
        </w:tc>
        <w:tc>
          <w:tcPr>
            <w:tcW w:w="571" w:type="dxa"/>
            <w:gridSpan w:val="3"/>
            <w:shd w:val="clear" w:color="auto" w:fill="auto"/>
            <w:vAlign w:val="center"/>
          </w:tcPr>
          <w:p w:rsidR="00171D1D" w:rsidRPr="00592BA7" w:rsidRDefault="00171D1D" w:rsidP="00592BA7">
            <w:pPr>
              <w:jc w:val="both"/>
              <w:rPr>
                <w:rFonts w:ascii="Times New Roman" w:hAnsi="Times New Roman" w:cs="Times New Roman"/>
                <w:sz w:val="20"/>
                <w:szCs w:val="20"/>
              </w:rPr>
            </w:pPr>
          </w:p>
        </w:tc>
        <w:tc>
          <w:tcPr>
            <w:tcW w:w="571" w:type="dxa"/>
            <w:gridSpan w:val="4"/>
            <w:shd w:val="clear" w:color="auto" w:fill="auto"/>
            <w:vAlign w:val="center"/>
          </w:tcPr>
          <w:p w:rsidR="00171D1D" w:rsidRPr="00592BA7" w:rsidRDefault="00171D1D" w:rsidP="00592BA7">
            <w:pPr>
              <w:jc w:val="both"/>
              <w:rPr>
                <w:rFonts w:ascii="Times New Roman" w:hAnsi="Times New Roman" w:cs="Times New Roman"/>
                <w:sz w:val="20"/>
                <w:szCs w:val="20"/>
              </w:rPr>
            </w:pPr>
          </w:p>
        </w:tc>
        <w:tc>
          <w:tcPr>
            <w:tcW w:w="577" w:type="dxa"/>
            <w:gridSpan w:val="2"/>
            <w:shd w:val="clear" w:color="auto" w:fill="auto"/>
            <w:noWrap/>
            <w:vAlign w:val="center"/>
          </w:tcPr>
          <w:p w:rsidR="00171D1D" w:rsidRPr="00592BA7" w:rsidRDefault="00171D1D" w:rsidP="00592BA7">
            <w:pPr>
              <w:jc w:val="both"/>
              <w:rPr>
                <w:rFonts w:ascii="Times New Roman" w:hAnsi="Times New Roman" w:cs="Times New Roman"/>
                <w:sz w:val="20"/>
                <w:szCs w:val="20"/>
              </w:rPr>
            </w:pPr>
          </w:p>
        </w:tc>
        <w:tc>
          <w:tcPr>
            <w:tcW w:w="698" w:type="dxa"/>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0,5</w:t>
            </w:r>
          </w:p>
        </w:tc>
        <w:tc>
          <w:tcPr>
            <w:tcW w:w="708" w:type="dxa"/>
            <w:gridSpan w:val="2"/>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2032</w:t>
            </w:r>
          </w:p>
        </w:tc>
        <w:tc>
          <w:tcPr>
            <w:tcW w:w="994" w:type="dxa"/>
            <w:gridSpan w:val="2"/>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0,5</w:t>
            </w:r>
          </w:p>
        </w:tc>
        <w:tc>
          <w:tcPr>
            <w:tcW w:w="577" w:type="dxa"/>
            <w:gridSpan w:val="2"/>
            <w:shd w:val="clear" w:color="auto" w:fill="auto"/>
            <w:noWrap/>
            <w:vAlign w:val="bottom"/>
          </w:tcPr>
          <w:p w:rsidR="00171D1D" w:rsidRPr="00592BA7" w:rsidRDefault="00171D1D" w:rsidP="00592BA7">
            <w:pPr>
              <w:jc w:val="both"/>
              <w:rPr>
                <w:rFonts w:ascii="Times New Roman" w:hAnsi="Times New Roman" w:cs="Times New Roman"/>
                <w:sz w:val="20"/>
                <w:szCs w:val="20"/>
              </w:rPr>
            </w:pPr>
          </w:p>
        </w:tc>
        <w:tc>
          <w:tcPr>
            <w:tcW w:w="851"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Бюджет -100%</w:t>
            </w:r>
          </w:p>
        </w:tc>
      </w:tr>
      <w:tr w:rsidR="00171D1D" w:rsidRPr="00592BA7" w:rsidTr="00592BA7">
        <w:trPr>
          <w:trHeight w:val="20"/>
        </w:trPr>
        <w:tc>
          <w:tcPr>
            <w:tcW w:w="15906" w:type="dxa"/>
            <w:gridSpan w:val="41"/>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Не планируется</w:t>
            </w:r>
          </w:p>
        </w:tc>
      </w:tr>
      <w:tr w:rsidR="00171D1D" w:rsidRPr="00592BA7" w:rsidTr="00592BA7">
        <w:trPr>
          <w:trHeight w:val="20"/>
        </w:trPr>
        <w:tc>
          <w:tcPr>
            <w:tcW w:w="594" w:type="dxa"/>
            <w:shd w:val="clear" w:color="auto" w:fill="auto"/>
            <w:noWrap/>
            <w:vAlign w:val="center"/>
          </w:tcPr>
          <w:p w:rsidR="00171D1D" w:rsidRPr="00592BA7" w:rsidRDefault="00171D1D" w:rsidP="00592BA7">
            <w:pPr>
              <w:jc w:val="both"/>
              <w:rPr>
                <w:rFonts w:ascii="Times New Roman" w:hAnsi="Times New Roman" w:cs="Times New Roman"/>
                <w:sz w:val="20"/>
                <w:szCs w:val="20"/>
              </w:rPr>
            </w:pPr>
          </w:p>
        </w:tc>
        <w:tc>
          <w:tcPr>
            <w:tcW w:w="8626" w:type="dxa"/>
            <w:gridSpan w:val="17"/>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Итого по группе 2 системы водоотведения</w:t>
            </w:r>
          </w:p>
        </w:tc>
        <w:tc>
          <w:tcPr>
            <w:tcW w:w="567" w:type="dxa"/>
            <w:gridSpan w:val="2"/>
            <w:shd w:val="clear" w:color="auto" w:fill="auto"/>
            <w:vAlign w:val="center"/>
          </w:tcPr>
          <w:p w:rsidR="00171D1D" w:rsidRPr="00592BA7" w:rsidRDefault="00171D1D" w:rsidP="00592BA7">
            <w:pPr>
              <w:jc w:val="both"/>
              <w:rPr>
                <w:rFonts w:ascii="Times New Roman" w:hAnsi="Times New Roman" w:cs="Times New Roman"/>
                <w:sz w:val="20"/>
                <w:szCs w:val="20"/>
              </w:rPr>
            </w:pPr>
          </w:p>
        </w:tc>
        <w:tc>
          <w:tcPr>
            <w:tcW w:w="572" w:type="dxa"/>
            <w:gridSpan w:val="4"/>
            <w:shd w:val="clear" w:color="auto" w:fill="auto"/>
            <w:vAlign w:val="center"/>
          </w:tcPr>
          <w:p w:rsidR="00171D1D" w:rsidRPr="00592BA7" w:rsidRDefault="00171D1D" w:rsidP="00592BA7">
            <w:pPr>
              <w:jc w:val="both"/>
              <w:rPr>
                <w:rFonts w:ascii="Times New Roman" w:hAnsi="Times New Roman" w:cs="Times New Roman"/>
                <w:sz w:val="20"/>
                <w:szCs w:val="20"/>
              </w:rPr>
            </w:pPr>
          </w:p>
        </w:tc>
        <w:tc>
          <w:tcPr>
            <w:tcW w:w="571" w:type="dxa"/>
            <w:gridSpan w:val="3"/>
            <w:shd w:val="clear" w:color="auto" w:fill="auto"/>
            <w:vAlign w:val="center"/>
          </w:tcPr>
          <w:p w:rsidR="00171D1D" w:rsidRPr="00592BA7" w:rsidRDefault="00171D1D" w:rsidP="00592BA7">
            <w:pPr>
              <w:jc w:val="both"/>
              <w:rPr>
                <w:rFonts w:ascii="Times New Roman" w:hAnsi="Times New Roman" w:cs="Times New Roman"/>
                <w:sz w:val="20"/>
                <w:szCs w:val="20"/>
              </w:rPr>
            </w:pPr>
          </w:p>
        </w:tc>
        <w:tc>
          <w:tcPr>
            <w:tcW w:w="571" w:type="dxa"/>
            <w:gridSpan w:val="4"/>
            <w:shd w:val="clear" w:color="auto" w:fill="auto"/>
            <w:vAlign w:val="center"/>
          </w:tcPr>
          <w:p w:rsidR="00171D1D" w:rsidRPr="00592BA7" w:rsidRDefault="00171D1D" w:rsidP="00592BA7">
            <w:pPr>
              <w:jc w:val="both"/>
              <w:rPr>
                <w:rFonts w:ascii="Times New Roman" w:hAnsi="Times New Roman" w:cs="Times New Roman"/>
                <w:sz w:val="20"/>
                <w:szCs w:val="20"/>
              </w:rPr>
            </w:pPr>
          </w:p>
        </w:tc>
        <w:tc>
          <w:tcPr>
            <w:tcW w:w="577" w:type="dxa"/>
            <w:gridSpan w:val="2"/>
            <w:shd w:val="clear" w:color="auto" w:fill="auto"/>
            <w:noWrap/>
            <w:vAlign w:val="center"/>
          </w:tcPr>
          <w:p w:rsidR="00171D1D" w:rsidRPr="00592BA7" w:rsidRDefault="00171D1D" w:rsidP="00592BA7">
            <w:pPr>
              <w:jc w:val="both"/>
              <w:rPr>
                <w:rFonts w:ascii="Times New Roman" w:hAnsi="Times New Roman" w:cs="Times New Roman"/>
                <w:sz w:val="20"/>
                <w:szCs w:val="20"/>
              </w:rPr>
            </w:pPr>
          </w:p>
        </w:tc>
        <w:tc>
          <w:tcPr>
            <w:tcW w:w="698" w:type="dxa"/>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0,5</w:t>
            </w:r>
          </w:p>
        </w:tc>
        <w:tc>
          <w:tcPr>
            <w:tcW w:w="708" w:type="dxa"/>
            <w:gridSpan w:val="2"/>
            <w:shd w:val="clear" w:color="auto" w:fill="auto"/>
            <w:noWrap/>
            <w:vAlign w:val="center"/>
          </w:tcPr>
          <w:p w:rsidR="00171D1D" w:rsidRPr="00592BA7" w:rsidRDefault="00171D1D" w:rsidP="00592BA7">
            <w:pPr>
              <w:jc w:val="both"/>
              <w:rPr>
                <w:rFonts w:ascii="Times New Roman" w:hAnsi="Times New Roman" w:cs="Times New Roman"/>
                <w:sz w:val="20"/>
                <w:szCs w:val="20"/>
              </w:rPr>
            </w:pPr>
          </w:p>
        </w:tc>
        <w:tc>
          <w:tcPr>
            <w:tcW w:w="994" w:type="dxa"/>
            <w:gridSpan w:val="2"/>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0,5</w:t>
            </w:r>
          </w:p>
        </w:tc>
        <w:tc>
          <w:tcPr>
            <w:tcW w:w="577" w:type="dxa"/>
            <w:gridSpan w:val="2"/>
            <w:shd w:val="clear" w:color="auto" w:fill="auto"/>
            <w:noWrap/>
            <w:vAlign w:val="bottom"/>
          </w:tcPr>
          <w:p w:rsidR="00171D1D" w:rsidRPr="00592BA7" w:rsidRDefault="00171D1D" w:rsidP="00592BA7">
            <w:pPr>
              <w:jc w:val="both"/>
              <w:rPr>
                <w:rFonts w:ascii="Times New Roman" w:hAnsi="Times New Roman" w:cs="Times New Roman"/>
                <w:sz w:val="20"/>
                <w:szCs w:val="20"/>
              </w:rPr>
            </w:pPr>
          </w:p>
        </w:tc>
        <w:tc>
          <w:tcPr>
            <w:tcW w:w="851" w:type="dxa"/>
            <w:shd w:val="clear" w:color="auto" w:fill="auto"/>
            <w:vAlign w:val="center"/>
          </w:tcPr>
          <w:p w:rsidR="00171D1D" w:rsidRPr="00592BA7" w:rsidRDefault="00171D1D" w:rsidP="00592BA7">
            <w:pPr>
              <w:jc w:val="both"/>
              <w:rPr>
                <w:rFonts w:ascii="Times New Roman" w:hAnsi="Times New Roman" w:cs="Times New Roman"/>
                <w:sz w:val="20"/>
                <w:szCs w:val="20"/>
              </w:rPr>
            </w:pPr>
          </w:p>
        </w:tc>
      </w:tr>
      <w:tr w:rsidR="00171D1D" w:rsidRPr="00592BA7" w:rsidTr="00592BA7">
        <w:trPr>
          <w:trHeight w:val="20"/>
        </w:trPr>
        <w:tc>
          <w:tcPr>
            <w:tcW w:w="15906" w:type="dxa"/>
            <w:gridSpan w:val="41"/>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Группа 3. Модернизация или реконструкция существующих объектов централизованных систем водоотведения в целях снижения уровня износа существующих объектов</w:t>
            </w:r>
          </w:p>
        </w:tc>
      </w:tr>
      <w:tr w:rsidR="00171D1D" w:rsidRPr="00592BA7" w:rsidTr="00592BA7">
        <w:trPr>
          <w:trHeight w:val="20"/>
        </w:trPr>
        <w:tc>
          <w:tcPr>
            <w:tcW w:w="15906" w:type="dxa"/>
            <w:gridSpan w:val="41"/>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3.1. Модернизация или реконструкция существующих сетей водоотведения</w:t>
            </w:r>
          </w:p>
        </w:tc>
      </w:tr>
      <w:tr w:rsidR="00171D1D" w:rsidRPr="00592BA7" w:rsidTr="00592BA7">
        <w:trPr>
          <w:trHeight w:val="20"/>
        </w:trPr>
        <w:tc>
          <w:tcPr>
            <w:tcW w:w="594" w:type="dxa"/>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3.1.1</w:t>
            </w:r>
          </w:p>
        </w:tc>
        <w:tc>
          <w:tcPr>
            <w:tcW w:w="2396"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Реконструкция канализационных коллекторов</w:t>
            </w:r>
          </w:p>
        </w:tc>
        <w:tc>
          <w:tcPr>
            <w:tcW w:w="1415" w:type="dxa"/>
            <w:gridSpan w:val="2"/>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В соответствии с Схемой водоотведения</w:t>
            </w:r>
          </w:p>
        </w:tc>
        <w:tc>
          <w:tcPr>
            <w:tcW w:w="1416" w:type="dxa"/>
            <w:gridSpan w:val="4"/>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Шумерлинский муниципальный округ</w:t>
            </w:r>
          </w:p>
        </w:tc>
        <w:tc>
          <w:tcPr>
            <w:tcW w:w="1275" w:type="dxa"/>
            <w:gridSpan w:val="2"/>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Протяженность, п.м.</w:t>
            </w:r>
          </w:p>
        </w:tc>
        <w:tc>
          <w:tcPr>
            <w:tcW w:w="707" w:type="dxa"/>
            <w:gridSpan w:val="3"/>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1900</w:t>
            </w:r>
          </w:p>
        </w:tc>
        <w:tc>
          <w:tcPr>
            <w:tcW w:w="708" w:type="dxa"/>
            <w:gridSpan w:val="2"/>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2023</w:t>
            </w:r>
          </w:p>
        </w:tc>
        <w:tc>
          <w:tcPr>
            <w:tcW w:w="709" w:type="dxa"/>
            <w:gridSpan w:val="3"/>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2032</w:t>
            </w:r>
          </w:p>
        </w:tc>
        <w:tc>
          <w:tcPr>
            <w:tcW w:w="567" w:type="dxa"/>
            <w:gridSpan w:val="2"/>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0,5</w:t>
            </w:r>
          </w:p>
        </w:tc>
        <w:tc>
          <w:tcPr>
            <w:tcW w:w="572" w:type="dxa"/>
            <w:gridSpan w:val="4"/>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w:t>
            </w:r>
          </w:p>
        </w:tc>
        <w:tc>
          <w:tcPr>
            <w:tcW w:w="571" w:type="dxa"/>
            <w:gridSpan w:val="3"/>
            <w:shd w:val="clear" w:color="auto" w:fill="auto"/>
            <w:vAlign w:val="center"/>
          </w:tcPr>
          <w:p w:rsidR="00171D1D" w:rsidRPr="00592BA7" w:rsidRDefault="00171D1D" w:rsidP="00592BA7">
            <w:pPr>
              <w:jc w:val="both"/>
              <w:rPr>
                <w:rFonts w:ascii="Times New Roman" w:hAnsi="Times New Roman" w:cs="Times New Roman"/>
                <w:sz w:val="20"/>
                <w:szCs w:val="20"/>
              </w:rPr>
            </w:pPr>
          </w:p>
        </w:tc>
        <w:tc>
          <w:tcPr>
            <w:tcW w:w="571" w:type="dxa"/>
            <w:gridSpan w:val="4"/>
            <w:shd w:val="clear" w:color="auto" w:fill="auto"/>
            <w:vAlign w:val="center"/>
          </w:tcPr>
          <w:p w:rsidR="00171D1D" w:rsidRPr="00592BA7" w:rsidRDefault="00171D1D" w:rsidP="00592BA7">
            <w:pPr>
              <w:jc w:val="both"/>
              <w:rPr>
                <w:rFonts w:ascii="Times New Roman" w:hAnsi="Times New Roman" w:cs="Times New Roman"/>
                <w:sz w:val="20"/>
                <w:szCs w:val="20"/>
              </w:rPr>
            </w:pPr>
          </w:p>
        </w:tc>
        <w:tc>
          <w:tcPr>
            <w:tcW w:w="577" w:type="dxa"/>
            <w:gridSpan w:val="2"/>
            <w:shd w:val="clear" w:color="auto" w:fill="auto"/>
            <w:noWrap/>
            <w:vAlign w:val="center"/>
          </w:tcPr>
          <w:p w:rsidR="00171D1D" w:rsidRPr="00592BA7" w:rsidRDefault="00171D1D" w:rsidP="00592BA7">
            <w:pPr>
              <w:jc w:val="both"/>
              <w:rPr>
                <w:rFonts w:ascii="Times New Roman" w:hAnsi="Times New Roman" w:cs="Times New Roman"/>
                <w:sz w:val="20"/>
                <w:szCs w:val="20"/>
              </w:rPr>
            </w:pPr>
          </w:p>
        </w:tc>
        <w:tc>
          <w:tcPr>
            <w:tcW w:w="698" w:type="dxa"/>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w:t>
            </w:r>
          </w:p>
        </w:tc>
        <w:tc>
          <w:tcPr>
            <w:tcW w:w="708" w:type="dxa"/>
            <w:gridSpan w:val="2"/>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2032</w:t>
            </w:r>
          </w:p>
        </w:tc>
        <w:tc>
          <w:tcPr>
            <w:tcW w:w="994" w:type="dxa"/>
            <w:gridSpan w:val="2"/>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3,5</w:t>
            </w:r>
          </w:p>
        </w:tc>
        <w:tc>
          <w:tcPr>
            <w:tcW w:w="577" w:type="dxa"/>
            <w:gridSpan w:val="2"/>
            <w:shd w:val="clear" w:color="auto" w:fill="auto"/>
            <w:noWrap/>
            <w:vAlign w:val="bottom"/>
          </w:tcPr>
          <w:p w:rsidR="00171D1D" w:rsidRPr="00592BA7" w:rsidRDefault="00171D1D" w:rsidP="00592BA7">
            <w:pPr>
              <w:jc w:val="both"/>
              <w:rPr>
                <w:rFonts w:ascii="Times New Roman" w:hAnsi="Times New Roman" w:cs="Times New Roman"/>
                <w:sz w:val="20"/>
                <w:szCs w:val="20"/>
              </w:rPr>
            </w:pPr>
          </w:p>
        </w:tc>
        <w:tc>
          <w:tcPr>
            <w:tcW w:w="851"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Бюджет -100%</w:t>
            </w:r>
          </w:p>
        </w:tc>
      </w:tr>
      <w:tr w:rsidR="00171D1D" w:rsidRPr="00592BA7" w:rsidTr="00592BA7">
        <w:trPr>
          <w:trHeight w:val="20"/>
        </w:trPr>
        <w:tc>
          <w:tcPr>
            <w:tcW w:w="15906" w:type="dxa"/>
            <w:gridSpan w:val="41"/>
            <w:tcBorders>
              <w:bottom w:val="single" w:sz="4" w:space="0" w:color="auto"/>
            </w:tcBorders>
            <w:shd w:val="clear" w:color="auto" w:fill="auto"/>
            <w:noWrap/>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3.2. Модернизация или реконструкция существующих объектов централизованных систем водоотведения за исключением сетей водоотведения </w:t>
            </w:r>
          </w:p>
        </w:tc>
      </w:tr>
      <w:tr w:rsidR="00171D1D" w:rsidRPr="00592BA7" w:rsidTr="00592BA7">
        <w:trPr>
          <w:trHeight w:val="20"/>
        </w:trPr>
        <w:tc>
          <w:tcPr>
            <w:tcW w:w="15906" w:type="dxa"/>
            <w:gridSpan w:val="41"/>
            <w:tcBorders>
              <w:bottom w:val="single" w:sz="4" w:space="0" w:color="auto"/>
            </w:tcBorders>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Не планируется</w:t>
            </w:r>
          </w:p>
        </w:tc>
      </w:tr>
      <w:tr w:rsidR="00171D1D" w:rsidRPr="00592BA7" w:rsidTr="00592BA7">
        <w:trPr>
          <w:trHeight w:val="20"/>
        </w:trPr>
        <w:tc>
          <w:tcPr>
            <w:tcW w:w="594" w:type="dxa"/>
            <w:shd w:val="clear" w:color="auto" w:fill="auto"/>
            <w:noWrap/>
          </w:tcPr>
          <w:p w:rsidR="00171D1D" w:rsidRPr="00592BA7" w:rsidRDefault="00171D1D" w:rsidP="00592BA7">
            <w:pPr>
              <w:jc w:val="both"/>
              <w:rPr>
                <w:rFonts w:ascii="Times New Roman" w:hAnsi="Times New Roman" w:cs="Times New Roman"/>
                <w:sz w:val="20"/>
                <w:szCs w:val="20"/>
              </w:rPr>
            </w:pPr>
          </w:p>
        </w:tc>
        <w:tc>
          <w:tcPr>
            <w:tcW w:w="8626" w:type="dxa"/>
            <w:gridSpan w:val="17"/>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Итого по группе 3 системы водоотведения</w:t>
            </w:r>
          </w:p>
        </w:tc>
        <w:tc>
          <w:tcPr>
            <w:tcW w:w="567" w:type="dxa"/>
            <w:gridSpan w:val="2"/>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0,5</w:t>
            </w:r>
          </w:p>
        </w:tc>
        <w:tc>
          <w:tcPr>
            <w:tcW w:w="572" w:type="dxa"/>
            <w:gridSpan w:val="4"/>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w:t>
            </w:r>
          </w:p>
        </w:tc>
        <w:tc>
          <w:tcPr>
            <w:tcW w:w="571" w:type="dxa"/>
            <w:gridSpan w:val="3"/>
            <w:shd w:val="clear" w:color="auto" w:fill="auto"/>
            <w:vAlign w:val="center"/>
          </w:tcPr>
          <w:p w:rsidR="00171D1D" w:rsidRPr="00592BA7" w:rsidRDefault="00171D1D" w:rsidP="00592BA7">
            <w:pPr>
              <w:jc w:val="both"/>
              <w:rPr>
                <w:rFonts w:ascii="Times New Roman" w:hAnsi="Times New Roman" w:cs="Times New Roman"/>
                <w:sz w:val="20"/>
                <w:szCs w:val="20"/>
              </w:rPr>
            </w:pPr>
          </w:p>
        </w:tc>
        <w:tc>
          <w:tcPr>
            <w:tcW w:w="571" w:type="dxa"/>
            <w:gridSpan w:val="4"/>
            <w:shd w:val="clear" w:color="auto" w:fill="auto"/>
            <w:vAlign w:val="center"/>
          </w:tcPr>
          <w:p w:rsidR="00171D1D" w:rsidRPr="00592BA7" w:rsidRDefault="00171D1D" w:rsidP="00592BA7">
            <w:pPr>
              <w:jc w:val="both"/>
              <w:rPr>
                <w:rFonts w:ascii="Times New Roman" w:hAnsi="Times New Roman" w:cs="Times New Roman"/>
                <w:sz w:val="20"/>
                <w:szCs w:val="20"/>
              </w:rPr>
            </w:pPr>
          </w:p>
        </w:tc>
        <w:tc>
          <w:tcPr>
            <w:tcW w:w="577" w:type="dxa"/>
            <w:gridSpan w:val="2"/>
            <w:shd w:val="clear" w:color="auto" w:fill="auto"/>
            <w:noWrap/>
            <w:vAlign w:val="center"/>
          </w:tcPr>
          <w:p w:rsidR="00171D1D" w:rsidRPr="00592BA7" w:rsidRDefault="00171D1D" w:rsidP="00592BA7">
            <w:pPr>
              <w:jc w:val="both"/>
              <w:rPr>
                <w:rFonts w:ascii="Times New Roman" w:hAnsi="Times New Roman" w:cs="Times New Roman"/>
                <w:sz w:val="20"/>
                <w:szCs w:val="20"/>
              </w:rPr>
            </w:pPr>
          </w:p>
        </w:tc>
        <w:tc>
          <w:tcPr>
            <w:tcW w:w="698" w:type="dxa"/>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2,5</w:t>
            </w:r>
          </w:p>
        </w:tc>
        <w:tc>
          <w:tcPr>
            <w:tcW w:w="708" w:type="dxa"/>
            <w:gridSpan w:val="2"/>
            <w:shd w:val="clear" w:color="auto" w:fill="auto"/>
            <w:noWrap/>
            <w:vAlign w:val="center"/>
          </w:tcPr>
          <w:p w:rsidR="00171D1D" w:rsidRPr="00592BA7" w:rsidRDefault="00171D1D" w:rsidP="00592BA7">
            <w:pPr>
              <w:jc w:val="both"/>
              <w:rPr>
                <w:rFonts w:ascii="Times New Roman" w:hAnsi="Times New Roman" w:cs="Times New Roman"/>
                <w:sz w:val="20"/>
                <w:szCs w:val="20"/>
              </w:rPr>
            </w:pPr>
          </w:p>
        </w:tc>
        <w:tc>
          <w:tcPr>
            <w:tcW w:w="994" w:type="dxa"/>
            <w:gridSpan w:val="2"/>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3,5</w:t>
            </w:r>
          </w:p>
        </w:tc>
        <w:tc>
          <w:tcPr>
            <w:tcW w:w="577" w:type="dxa"/>
            <w:gridSpan w:val="2"/>
            <w:shd w:val="clear" w:color="auto" w:fill="auto"/>
            <w:noWrap/>
            <w:vAlign w:val="center"/>
          </w:tcPr>
          <w:p w:rsidR="00171D1D" w:rsidRPr="00592BA7" w:rsidRDefault="00171D1D" w:rsidP="00592BA7">
            <w:pPr>
              <w:jc w:val="both"/>
              <w:rPr>
                <w:rFonts w:ascii="Times New Roman" w:hAnsi="Times New Roman" w:cs="Times New Roman"/>
                <w:sz w:val="20"/>
                <w:szCs w:val="20"/>
              </w:rPr>
            </w:pPr>
          </w:p>
        </w:tc>
        <w:tc>
          <w:tcPr>
            <w:tcW w:w="851" w:type="dxa"/>
            <w:shd w:val="clear" w:color="auto" w:fill="auto"/>
            <w:vAlign w:val="center"/>
          </w:tcPr>
          <w:p w:rsidR="00171D1D" w:rsidRPr="00592BA7" w:rsidRDefault="00171D1D" w:rsidP="00592BA7">
            <w:pPr>
              <w:jc w:val="both"/>
              <w:rPr>
                <w:rFonts w:ascii="Times New Roman" w:hAnsi="Times New Roman" w:cs="Times New Roman"/>
                <w:sz w:val="20"/>
                <w:szCs w:val="20"/>
              </w:rPr>
            </w:pPr>
          </w:p>
        </w:tc>
      </w:tr>
      <w:tr w:rsidR="00171D1D" w:rsidRPr="00592BA7" w:rsidTr="00592BA7">
        <w:trPr>
          <w:trHeight w:val="20"/>
        </w:trPr>
        <w:tc>
          <w:tcPr>
            <w:tcW w:w="15906" w:type="dxa"/>
            <w:gridSpan w:val="41"/>
            <w:shd w:val="clear" w:color="auto" w:fill="auto"/>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Группа 4. Мероприятия, направленные на повышение экологической эффективности, достижение плановых значений показателей надежности, качества и энергоэффективности объектов централизованных систем водоотведения не включенные в прочие группы мероприятий</w:t>
            </w:r>
          </w:p>
        </w:tc>
      </w:tr>
      <w:tr w:rsidR="00171D1D" w:rsidRPr="00592BA7" w:rsidTr="00592BA7">
        <w:trPr>
          <w:trHeight w:val="20"/>
        </w:trPr>
        <w:tc>
          <w:tcPr>
            <w:tcW w:w="15906" w:type="dxa"/>
            <w:gridSpan w:val="41"/>
            <w:shd w:val="clear" w:color="auto" w:fill="auto"/>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Не планируется</w:t>
            </w:r>
          </w:p>
        </w:tc>
      </w:tr>
      <w:tr w:rsidR="00171D1D" w:rsidRPr="00592BA7" w:rsidTr="00592BA7">
        <w:trPr>
          <w:trHeight w:val="20"/>
        </w:trPr>
        <w:tc>
          <w:tcPr>
            <w:tcW w:w="15906" w:type="dxa"/>
            <w:gridSpan w:val="41"/>
            <w:shd w:val="clear" w:color="auto" w:fill="auto"/>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Группа 5. Вывод из эксплуатации, консервация и демонтаж объектов централизованных систем водоотведения </w:t>
            </w:r>
          </w:p>
        </w:tc>
      </w:tr>
      <w:tr w:rsidR="00171D1D" w:rsidRPr="00592BA7" w:rsidTr="00592BA7">
        <w:trPr>
          <w:trHeight w:val="20"/>
        </w:trPr>
        <w:tc>
          <w:tcPr>
            <w:tcW w:w="15906" w:type="dxa"/>
            <w:gridSpan w:val="41"/>
            <w:shd w:val="clear" w:color="auto" w:fill="auto"/>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 xml:space="preserve">5.1. Вывод из эксплуатации, консервация и демонтаж сетей водоотведения </w:t>
            </w:r>
          </w:p>
        </w:tc>
      </w:tr>
      <w:tr w:rsidR="00171D1D" w:rsidRPr="00592BA7" w:rsidTr="00592BA7">
        <w:trPr>
          <w:trHeight w:val="20"/>
        </w:trPr>
        <w:tc>
          <w:tcPr>
            <w:tcW w:w="15906" w:type="dxa"/>
            <w:gridSpan w:val="41"/>
            <w:shd w:val="clear" w:color="auto" w:fill="auto"/>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Не планируется</w:t>
            </w:r>
          </w:p>
        </w:tc>
      </w:tr>
      <w:tr w:rsidR="00171D1D" w:rsidRPr="00592BA7" w:rsidTr="00592BA7">
        <w:trPr>
          <w:trHeight w:val="20"/>
        </w:trPr>
        <w:tc>
          <w:tcPr>
            <w:tcW w:w="15906" w:type="dxa"/>
            <w:gridSpan w:val="41"/>
            <w:shd w:val="clear" w:color="auto" w:fill="auto"/>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5.2. Вывод из эксплуатации, консервация и демонтаж иных объектов централизованных систем водоотведения за исключением сетей водоотведения </w:t>
            </w:r>
          </w:p>
        </w:tc>
      </w:tr>
      <w:tr w:rsidR="00171D1D" w:rsidRPr="00592BA7" w:rsidTr="00592BA7">
        <w:trPr>
          <w:trHeight w:val="60"/>
        </w:trPr>
        <w:tc>
          <w:tcPr>
            <w:tcW w:w="15906" w:type="dxa"/>
            <w:gridSpan w:val="41"/>
            <w:shd w:val="clear" w:color="auto" w:fill="auto"/>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Не планируется</w:t>
            </w:r>
          </w:p>
        </w:tc>
      </w:tr>
      <w:tr w:rsidR="00171D1D" w:rsidRPr="00592BA7" w:rsidTr="00592BA7">
        <w:trPr>
          <w:trHeight w:val="20"/>
        </w:trPr>
        <w:tc>
          <w:tcPr>
            <w:tcW w:w="594" w:type="dxa"/>
            <w:shd w:val="clear" w:color="auto" w:fill="auto"/>
            <w:noWrap/>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w:t>
            </w:r>
          </w:p>
        </w:tc>
        <w:tc>
          <w:tcPr>
            <w:tcW w:w="8626" w:type="dxa"/>
            <w:gridSpan w:val="17"/>
            <w:shd w:val="clear" w:color="auto" w:fill="auto"/>
            <w:noWrap/>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Итого по группе системы водоотведения</w:t>
            </w:r>
          </w:p>
        </w:tc>
        <w:tc>
          <w:tcPr>
            <w:tcW w:w="567" w:type="dxa"/>
            <w:gridSpan w:val="2"/>
            <w:shd w:val="clear" w:color="auto" w:fill="auto"/>
            <w:noWrap/>
            <w:vAlign w:val="bottom"/>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w:t>
            </w:r>
          </w:p>
        </w:tc>
        <w:tc>
          <w:tcPr>
            <w:tcW w:w="572" w:type="dxa"/>
            <w:gridSpan w:val="4"/>
            <w:shd w:val="clear" w:color="auto" w:fill="auto"/>
            <w:noWrap/>
            <w:vAlign w:val="bottom"/>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w:t>
            </w:r>
          </w:p>
        </w:tc>
        <w:tc>
          <w:tcPr>
            <w:tcW w:w="571" w:type="dxa"/>
            <w:gridSpan w:val="3"/>
            <w:shd w:val="clear" w:color="auto" w:fill="auto"/>
            <w:noWrap/>
            <w:vAlign w:val="bottom"/>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10,00</w:t>
            </w:r>
          </w:p>
        </w:tc>
        <w:tc>
          <w:tcPr>
            <w:tcW w:w="571" w:type="dxa"/>
            <w:gridSpan w:val="4"/>
            <w:shd w:val="clear" w:color="auto" w:fill="auto"/>
            <w:noWrap/>
            <w:vAlign w:val="bottom"/>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0,00</w:t>
            </w:r>
          </w:p>
        </w:tc>
        <w:tc>
          <w:tcPr>
            <w:tcW w:w="577" w:type="dxa"/>
            <w:gridSpan w:val="2"/>
            <w:shd w:val="clear" w:color="auto" w:fill="auto"/>
            <w:noWrap/>
            <w:vAlign w:val="bottom"/>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0,00</w:t>
            </w:r>
          </w:p>
        </w:tc>
        <w:tc>
          <w:tcPr>
            <w:tcW w:w="698" w:type="dxa"/>
            <w:shd w:val="clear" w:color="auto" w:fill="auto"/>
            <w:noWrap/>
            <w:vAlign w:val="bottom"/>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3,00</w:t>
            </w:r>
          </w:p>
        </w:tc>
        <w:tc>
          <w:tcPr>
            <w:tcW w:w="708" w:type="dxa"/>
            <w:gridSpan w:val="2"/>
            <w:shd w:val="clear" w:color="auto" w:fill="auto"/>
            <w:noWrap/>
            <w:vAlign w:val="center"/>
          </w:tcPr>
          <w:p w:rsidR="00171D1D" w:rsidRPr="00592BA7" w:rsidRDefault="00171D1D" w:rsidP="00592BA7">
            <w:pPr>
              <w:jc w:val="both"/>
              <w:rPr>
                <w:rFonts w:ascii="Times New Roman" w:hAnsi="Times New Roman" w:cs="Times New Roman"/>
                <w:sz w:val="20"/>
                <w:szCs w:val="20"/>
              </w:rPr>
            </w:pPr>
          </w:p>
        </w:tc>
        <w:tc>
          <w:tcPr>
            <w:tcW w:w="994" w:type="dxa"/>
            <w:gridSpan w:val="2"/>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14,5</w:t>
            </w:r>
          </w:p>
        </w:tc>
        <w:tc>
          <w:tcPr>
            <w:tcW w:w="577" w:type="dxa"/>
            <w:gridSpan w:val="2"/>
            <w:shd w:val="clear" w:color="auto" w:fill="auto"/>
            <w:noWrap/>
            <w:vAlign w:val="center"/>
          </w:tcPr>
          <w:p w:rsidR="00171D1D" w:rsidRPr="00592BA7" w:rsidRDefault="00171D1D" w:rsidP="00592BA7">
            <w:pPr>
              <w:jc w:val="both"/>
              <w:rPr>
                <w:rFonts w:ascii="Times New Roman" w:hAnsi="Times New Roman" w:cs="Times New Roman"/>
                <w:sz w:val="20"/>
                <w:szCs w:val="20"/>
              </w:rPr>
            </w:pPr>
          </w:p>
        </w:tc>
        <w:tc>
          <w:tcPr>
            <w:tcW w:w="851" w:type="dxa"/>
            <w:shd w:val="clear" w:color="auto" w:fill="auto"/>
            <w:noWrap/>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w:t>
            </w:r>
          </w:p>
        </w:tc>
      </w:tr>
      <w:tr w:rsidR="00171D1D" w:rsidRPr="00592BA7" w:rsidTr="00592BA7">
        <w:trPr>
          <w:trHeight w:val="20"/>
        </w:trPr>
        <w:tc>
          <w:tcPr>
            <w:tcW w:w="15906" w:type="dxa"/>
            <w:gridSpan w:val="41"/>
            <w:shd w:val="clear" w:color="auto" w:fill="auto"/>
            <w:noWrap/>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Система газоснабжения</w:t>
            </w:r>
          </w:p>
        </w:tc>
      </w:tr>
      <w:tr w:rsidR="00171D1D" w:rsidRPr="00592BA7" w:rsidTr="00592BA7">
        <w:trPr>
          <w:trHeight w:val="20"/>
        </w:trPr>
        <w:tc>
          <w:tcPr>
            <w:tcW w:w="15906" w:type="dxa"/>
            <w:gridSpan w:val="41"/>
            <w:shd w:val="clear" w:color="auto" w:fill="auto"/>
            <w:noWrap/>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Группа 1. Строительство, модернизация или реконструкция объектов централизованных систем газоснабжения в целях подключения объектов капитального строительства абонентов</w:t>
            </w:r>
          </w:p>
        </w:tc>
      </w:tr>
      <w:tr w:rsidR="00171D1D" w:rsidRPr="00592BA7" w:rsidTr="00592BA7">
        <w:trPr>
          <w:trHeight w:val="20"/>
        </w:trPr>
        <w:tc>
          <w:tcPr>
            <w:tcW w:w="15906" w:type="dxa"/>
            <w:gridSpan w:val="41"/>
            <w:shd w:val="clear" w:color="auto" w:fill="auto"/>
            <w:noWrap/>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1.1. Строительство новых сетей газоснабжения в целях подключения объектов капитального строительства абонентов</w:t>
            </w:r>
          </w:p>
        </w:tc>
      </w:tr>
      <w:tr w:rsidR="00171D1D" w:rsidRPr="00592BA7" w:rsidTr="00592BA7">
        <w:trPr>
          <w:trHeight w:val="20"/>
        </w:trPr>
        <w:tc>
          <w:tcPr>
            <w:tcW w:w="15906" w:type="dxa"/>
            <w:gridSpan w:val="41"/>
            <w:shd w:val="clear" w:color="auto" w:fill="auto"/>
            <w:noWrap/>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Не планируется</w:t>
            </w:r>
          </w:p>
        </w:tc>
      </w:tr>
      <w:tr w:rsidR="00171D1D" w:rsidRPr="00592BA7" w:rsidTr="00592BA7">
        <w:trPr>
          <w:trHeight w:val="20"/>
        </w:trPr>
        <w:tc>
          <w:tcPr>
            <w:tcW w:w="15906" w:type="dxa"/>
            <w:gridSpan w:val="41"/>
            <w:shd w:val="clear" w:color="auto" w:fill="auto"/>
            <w:noWrap/>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1.2. Строительство иных объектов централизованных систем газоснабжения за исключением сетей газоснабжения</w:t>
            </w:r>
          </w:p>
        </w:tc>
      </w:tr>
      <w:tr w:rsidR="00171D1D" w:rsidRPr="00592BA7" w:rsidTr="00592BA7">
        <w:trPr>
          <w:trHeight w:val="20"/>
        </w:trPr>
        <w:tc>
          <w:tcPr>
            <w:tcW w:w="594" w:type="dxa"/>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1.2.1</w:t>
            </w:r>
          </w:p>
        </w:tc>
        <w:tc>
          <w:tcPr>
            <w:tcW w:w="2411" w:type="dxa"/>
            <w:gridSpan w:val="2"/>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Строительство межпоселкового газопровода</w:t>
            </w:r>
          </w:p>
        </w:tc>
        <w:tc>
          <w:tcPr>
            <w:tcW w:w="1400"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СТП Чувашской Республики</w:t>
            </w:r>
          </w:p>
        </w:tc>
        <w:tc>
          <w:tcPr>
            <w:tcW w:w="1355" w:type="dxa"/>
            <w:gridSpan w:val="3"/>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Шумерлинский муниципальный округ</w:t>
            </w:r>
          </w:p>
        </w:tc>
        <w:tc>
          <w:tcPr>
            <w:tcW w:w="1356" w:type="dxa"/>
            <w:gridSpan w:val="4"/>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Протяженность, п.м.</w:t>
            </w:r>
          </w:p>
        </w:tc>
        <w:tc>
          <w:tcPr>
            <w:tcW w:w="709" w:type="dxa"/>
            <w:gridSpan w:val="3"/>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28000</w:t>
            </w:r>
          </w:p>
        </w:tc>
        <w:tc>
          <w:tcPr>
            <w:tcW w:w="710" w:type="dxa"/>
            <w:gridSpan w:val="3"/>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2034</w:t>
            </w:r>
          </w:p>
        </w:tc>
        <w:tc>
          <w:tcPr>
            <w:tcW w:w="708" w:type="dxa"/>
            <w:gridSpan w:val="2"/>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2034</w:t>
            </w:r>
          </w:p>
        </w:tc>
        <w:tc>
          <w:tcPr>
            <w:tcW w:w="561" w:type="dxa"/>
            <w:gridSpan w:val="2"/>
            <w:shd w:val="clear" w:color="auto" w:fill="auto"/>
            <w:vAlign w:val="center"/>
          </w:tcPr>
          <w:p w:rsidR="00171D1D" w:rsidRPr="00592BA7" w:rsidRDefault="00171D1D" w:rsidP="00592BA7">
            <w:pPr>
              <w:jc w:val="both"/>
              <w:rPr>
                <w:rFonts w:ascii="Times New Roman" w:hAnsi="Times New Roman" w:cs="Times New Roman"/>
                <w:sz w:val="20"/>
                <w:szCs w:val="20"/>
              </w:rPr>
            </w:pPr>
          </w:p>
        </w:tc>
        <w:tc>
          <w:tcPr>
            <w:tcW w:w="555" w:type="dxa"/>
            <w:gridSpan w:val="3"/>
            <w:shd w:val="clear" w:color="auto" w:fill="auto"/>
            <w:vAlign w:val="center"/>
          </w:tcPr>
          <w:p w:rsidR="00171D1D" w:rsidRPr="00592BA7" w:rsidRDefault="00171D1D" w:rsidP="00592BA7">
            <w:pPr>
              <w:jc w:val="both"/>
              <w:rPr>
                <w:rFonts w:ascii="Times New Roman" w:hAnsi="Times New Roman" w:cs="Times New Roman"/>
                <w:sz w:val="20"/>
                <w:szCs w:val="20"/>
              </w:rPr>
            </w:pPr>
          </w:p>
        </w:tc>
        <w:tc>
          <w:tcPr>
            <w:tcW w:w="571" w:type="dxa"/>
            <w:gridSpan w:val="3"/>
            <w:shd w:val="clear" w:color="auto" w:fill="auto"/>
            <w:vAlign w:val="center"/>
          </w:tcPr>
          <w:p w:rsidR="00171D1D" w:rsidRPr="00592BA7" w:rsidRDefault="00171D1D" w:rsidP="00592BA7">
            <w:pPr>
              <w:jc w:val="both"/>
              <w:rPr>
                <w:rFonts w:ascii="Times New Roman" w:hAnsi="Times New Roman" w:cs="Times New Roman"/>
                <w:sz w:val="20"/>
                <w:szCs w:val="20"/>
              </w:rPr>
            </w:pPr>
          </w:p>
        </w:tc>
        <w:tc>
          <w:tcPr>
            <w:tcW w:w="543" w:type="dxa"/>
            <w:gridSpan w:val="2"/>
            <w:shd w:val="clear" w:color="auto" w:fill="auto"/>
            <w:vAlign w:val="center"/>
          </w:tcPr>
          <w:p w:rsidR="00171D1D" w:rsidRPr="00592BA7" w:rsidRDefault="00171D1D" w:rsidP="00592BA7">
            <w:pPr>
              <w:jc w:val="both"/>
              <w:rPr>
                <w:rFonts w:ascii="Times New Roman" w:hAnsi="Times New Roman" w:cs="Times New Roman"/>
                <w:sz w:val="20"/>
                <w:szCs w:val="20"/>
              </w:rPr>
            </w:pPr>
          </w:p>
        </w:tc>
        <w:tc>
          <w:tcPr>
            <w:tcW w:w="605" w:type="dxa"/>
            <w:gridSpan w:val="4"/>
            <w:shd w:val="clear" w:color="auto" w:fill="auto"/>
            <w:vAlign w:val="center"/>
          </w:tcPr>
          <w:p w:rsidR="00171D1D" w:rsidRPr="00592BA7" w:rsidRDefault="00171D1D" w:rsidP="00592BA7">
            <w:pPr>
              <w:jc w:val="both"/>
              <w:rPr>
                <w:rFonts w:ascii="Times New Roman" w:hAnsi="Times New Roman" w:cs="Times New Roman"/>
                <w:sz w:val="20"/>
                <w:szCs w:val="20"/>
              </w:rPr>
            </w:pPr>
          </w:p>
        </w:tc>
        <w:tc>
          <w:tcPr>
            <w:tcW w:w="709" w:type="dxa"/>
            <w:gridSpan w:val="2"/>
            <w:shd w:val="clear" w:color="auto" w:fill="auto"/>
            <w:vAlign w:val="center"/>
          </w:tcPr>
          <w:p w:rsidR="00171D1D" w:rsidRPr="00592BA7" w:rsidRDefault="00171D1D" w:rsidP="00592BA7">
            <w:pPr>
              <w:jc w:val="both"/>
              <w:rPr>
                <w:rFonts w:ascii="Times New Roman" w:hAnsi="Times New Roman" w:cs="Times New Roman"/>
                <w:sz w:val="20"/>
                <w:szCs w:val="20"/>
              </w:rPr>
            </w:pPr>
          </w:p>
        </w:tc>
        <w:tc>
          <w:tcPr>
            <w:tcW w:w="697"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2034</w:t>
            </w:r>
          </w:p>
        </w:tc>
        <w:tc>
          <w:tcPr>
            <w:tcW w:w="994" w:type="dxa"/>
            <w:gridSpan w:val="2"/>
            <w:shd w:val="clear" w:color="auto" w:fill="auto"/>
            <w:vAlign w:val="center"/>
          </w:tcPr>
          <w:p w:rsidR="00171D1D" w:rsidRPr="00592BA7" w:rsidRDefault="00171D1D" w:rsidP="00592BA7">
            <w:pPr>
              <w:jc w:val="both"/>
              <w:rPr>
                <w:rFonts w:ascii="Times New Roman" w:hAnsi="Times New Roman" w:cs="Times New Roman"/>
                <w:sz w:val="20"/>
                <w:szCs w:val="20"/>
              </w:rPr>
            </w:pPr>
          </w:p>
        </w:tc>
        <w:tc>
          <w:tcPr>
            <w:tcW w:w="577" w:type="dxa"/>
            <w:gridSpan w:val="2"/>
            <w:shd w:val="clear" w:color="auto" w:fill="auto"/>
            <w:vAlign w:val="center"/>
          </w:tcPr>
          <w:p w:rsidR="00171D1D" w:rsidRPr="00592BA7" w:rsidRDefault="00171D1D" w:rsidP="00592BA7">
            <w:pPr>
              <w:jc w:val="both"/>
              <w:rPr>
                <w:rFonts w:ascii="Times New Roman" w:hAnsi="Times New Roman" w:cs="Times New Roman"/>
                <w:sz w:val="20"/>
                <w:szCs w:val="20"/>
              </w:rPr>
            </w:pPr>
          </w:p>
        </w:tc>
        <w:tc>
          <w:tcPr>
            <w:tcW w:w="851"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Внебюджетные источники</w:t>
            </w:r>
          </w:p>
        </w:tc>
      </w:tr>
      <w:tr w:rsidR="00171D1D" w:rsidRPr="00592BA7" w:rsidTr="00592BA7">
        <w:trPr>
          <w:trHeight w:val="20"/>
        </w:trPr>
        <w:tc>
          <w:tcPr>
            <w:tcW w:w="15906" w:type="dxa"/>
            <w:gridSpan w:val="41"/>
            <w:shd w:val="clear" w:color="auto" w:fill="auto"/>
            <w:noWrap/>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1.3. Увеличение пропускной способности существующих сетей газоснабжения в целях подключения объектов капитального строительства абонентов</w:t>
            </w:r>
          </w:p>
        </w:tc>
      </w:tr>
      <w:tr w:rsidR="00171D1D" w:rsidRPr="00592BA7" w:rsidTr="00592BA7">
        <w:trPr>
          <w:trHeight w:val="20"/>
        </w:trPr>
        <w:tc>
          <w:tcPr>
            <w:tcW w:w="15906" w:type="dxa"/>
            <w:gridSpan w:val="41"/>
            <w:shd w:val="clear" w:color="auto" w:fill="auto"/>
            <w:noWrap/>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Не планируется</w:t>
            </w:r>
          </w:p>
        </w:tc>
      </w:tr>
      <w:tr w:rsidR="00171D1D" w:rsidRPr="00592BA7" w:rsidTr="00592BA7">
        <w:trPr>
          <w:trHeight w:val="20"/>
        </w:trPr>
        <w:tc>
          <w:tcPr>
            <w:tcW w:w="15906" w:type="dxa"/>
            <w:gridSpan w:val="41"/>
            <w:shd w:val="clear" w:color="auto" w:fill="auto"/>
            <w:noWrap/>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1.4. Увеличение мощности и производительности существующих объектов централизованных систем газоснабжения, за исключением сетей газоснабжения </w:t>
            </w:r>
          </w:p>
        </w:tc>
      </w:tr>
      <w:tr w:rsidR="00171D1D" w:rsidRPr="00592BA7" w:rsidTr="00592BA7">
        <w:trPr>
          <w:trHeight w:val="20"/>
        </w:trPr>
        <w:tc>
          <w:tcPr>
            <w:tcW w:w="15906" w:type="dxa"/>
            <w:gridSpan w:val="41"/>
            <w:shd w:val="clear" w:color="auto" w:fill="auto"/>
            <w:noWrap/>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Не планируется</w:t>
            </w:r>
          </w:p>
        </w:tc>
      </w:tr>
      <w:tr w:rsidR="00171D1D" w:rsidRPr="00592BA7" w:rsidTr="00592BA7">
        <w:trPr>
          <w:trHeight w:val="20"/>
        </w:trPr>
        <w:tc>
          <w:tcPr>
            <w:tcW w:w="594" w:type="dxa"/>
            <w:shd w:val="clear" w:color="auto" w:fill="auto"/>
            <w:noWrap/>
          </w:tcPr>
          <w:p w:rsidR="00171D1D" w:rsidRPr="00592BA7" w:rsidRDefault="00171D1D" w:rsidP="00592BA7">
            <w:pPr>
              <w:jc w:val="both"/>
              <w:rPr>
                <w:rFonts w:ascii="Times New Roman" w:hAnsi="Times New Roman" w:cs="Times New Roman"/>
                <w:sz w:val="20"/>
                <w:szCs w:val="20"/>
              </w:rPr>
            </w:pPr>
          </w:p>
        </w:tc>
        <w:tc>
          <w:tcPr>
            <w:tcW w:w="8649" w:type="dxa"/>
            <w:gridSpan w:val="18"/>
            <w:shd w:val="clear" w:color="auto" w:fill="auto"/>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Итого по группе 1 системы газоснабжения</w:t>
            </w:r>
          </w:p>
        </w:tc>
        <w:tc>
          <w:tcPr>
            <w:tcW w:w="590" w:type="dxa"/>
            <w:gridSpan w:val="4"/>
            <w:shd w:val="clear" w:color="auto" w:fill="auto"/>
          </w:tcPr>
          <w:p w:rsidR="00171D1D" w:rsidRPr="00592BA7" w:rsidRDefault="00171D1D" w:rsidP="00592BA7">
            <w:pPr>
              <w:jc w:val="both"/>
              <w:rPr>
                <w:rFonts w:ascii="Times New Roman" w:hAnsi="Times New Roman" w:cs="Times New Roman"/>
                <w:sz w:val="20"/>
                <w:szCs w:val="20"/>
              </w:rPr>
            </w:pPr>
          </w:p>
        </w:tc>
        <w:tc>
          <w:tcPr>
            <w:tcW w:w="591" w:type="dxa"/>
            <w:gridSpan w:val="3"/>
            <w:shd w:val="clear" w:color="auto" w:fill="auto"/>
          </w:tcPr>
          <w:p w:rsidR="00171D1D" w:rsidRPr="00592BA7" w:rsidRDefault="00171D1D" w:rsidP="00592BA7">
            <w:pPr>
              <w:jc w:val="both"/>
              <w:rPr>
                <w:rFonts w:ascii="Times New Roman" w:hAnsi="Times New Roman" w:cs="Times New Roman"/>
                <w:sz w:val="20"/>
                <w:szCs w:val="20"/>
              </w:rPr>
            </w:pPr>
          </w:p>
        </w:tc>
        <w:tc>
          <w:tcPr>
            <w:tcW w:w="520" w:type="dxa"/>
            <w:gridSpan w:val="2"/>
            <w:shd w:val="clear" w:color="auto" w:fill="auto"/>
          </w:tcPr>
          <w:p w:rsidR="00171D1D" w:rsidRPr="00592BA7" w:rsidRDefault="00171D1D" w:rsidP="00592BA7">
            <w:pPr>
              <w:jc w:val="both"/>
              <w:rPr>
                <w:rFonts w:ascii="Times New Roman" w:hAnsi="Times New Roman" w:cs="Times New Roman"/>
                <w:sz w:val="20"/>
                <w:szCs w:val="20"/>
              </w:rPr>
            </w:pPr>
          </w:p>
        </w:tc>
        <w:tc>
          <w:tcPr>
            <w:tcW w:w="567" w:type="dxa"/>
            <w:gridSpan w:val="4"/>
            <w:shd w:val="clear" w:color="auto" w:fill="auto"/>
          </w:tcPr>
          <w:p w:rsidR="00171D1D" w:rsidRPr="00592BA7" w:rsidRDefault="00171D1D" w:rsidP="00592BA7">
            <w:pPr>
              <w:jc w:val="both"/>
              <w:rPr>
                <w:rFonts w:ascii="Times New Roman" w:hAnsi="Times New Roman" w:cs="Times New Roman"/>
                <w:sz w:val="20"/>
                <w:szCs w:val="20"/>
              </w:rPr>
            </w:pPr>
          </w:p>
        </w:tc>
        <w:tc>
          <w:tcPr>
            <w:tcW w:w="567" w:type="dxa"/>
            <w:shd w:val="clear" w:color="auto" w:fill="auto"/>
          </w:tcPr>
          <w:p w:rsidR="00171D1D" w:rsidRPr="00592BA7" w:rsidRDefault="00171D1D" w:rsidP="00592BA7">
            <w:pPr>
              <w:jc w:val="both"/>
              <w:rPr>
                <w:rFonts w:ascii="Times New Roman" w:hAnsi="Times New Roman" w:cs="Times New Roman"/>
                <w:sz w:val="20"/>
                <w:szCs w:val="20"/>
              </w:rPr>
            </w:pPr>
          </w:p>
        </w:tc>
        <w:tc>
          <w:tcPr>
            <w:tcW w:w="709" w:type="dxa"/>
            <w:gridSpan w:val="2"/>
            <w:shd w:val="clear" w:color="auto" w:fill="auto"/>
          </w:tcPr>
          <w:p w:rsidR="00171D1D" w:rsidRPr="00592BA7" w:rsidRDefault="00171D1D" w:rsidP="00592BA7">
            <w:pPr>
              <w:jc w:val="both"/>
              <w:rPr>
                <w:rFonts w:ascii="Times New Roman" w:hAnsi="Times New Roman" w:cs="Times New Roman"/>
                <w:sz w:val="20"/>
                <w:szCs w:val="20"/>
              </w:rPr>
            </w:pPr>
          </w:p>
        </w:tc>
        <w:tc>
          <w:tcPr>
            <w:tcW w:w="709" w:type="dxa"/>
            <w:gridSpan w:val="2"/>
            <w:shd w:val="clear" w:color="auto" w:fill="auto"/>
          </w:tcPr>
          <w:p w:rsidR="00171D1D" w:rsidRPr="00592BA7" w:rsidRDefault="00171D1D" w:rsidP="00592BA7">
            <w:pPr>
              <w:jc w:val="both"/>
              <w:rPr>
                <w:rFonts w:ascii="Times New Roman" w:hAnsi="Times New Roman" w:cs="Times New Roman"/>
                <w:sz w:val="20"/>
                <w:szCs w:val="20"/>
              </w:rPr>
            </w:pPr>
          </w:p>
        </w:tc>
        <w:tc>
          <w:tcPr>
            <w:tcW w:w="992" w:type="dxa"/>
            <w:gridSpan w:val="2"/>
            <w:shd w:val="clear" w:color="auto" w:fill="auto"/>
          </w:tcPr>
          <w:p w:rsidR="00171D1D" w:rsidRPr="00592BA7" w:rsidRDefault="00171D1D" w:rsidP="00592BA7">
            <w:pPr>
              <w:jc w:val="both"/>
              <w:rPr>
                <w:rFonts w:ascii="Times New Roman" w:hAnsi="Times New Roman" w:cs="Times New Roman"/>
                <w:sz w:val="20"/>
                <w:szCs w:val="20"/>
              </w:rPr>
            </w:pPr>
          </w:p>
        </w:tc>
        <w:tc>
          <w:tcPr>
            <w:tcW w:w="567" w:type="dxa"/>
            <w:shd w:val="clear" w:color="auto" w:fill="auto"/>
          </w:tcPr>
          <w:p w:rsidR="00171D1D" w:rsidRPr="00592BA7" w:rsidRDefault="00171D1D" w:rsidP="00592BA7">
            <w:pPr>
              <w:jc w:val="both"/>
              <w:rPr>
                <w:rFonts w:ascii="Times New Roman" w:hAnsi="Times New Roman" w:cs="Times New Roman"/>
                <w:sz w:val="20"/>
                <w:szCs w:val="20"/>
              </w:rPr>
            </w:pPr>
          </w:p>
        </w:tc>
        <w:tc>
          <w:tcPr>
            <w:tcW w:w="851" w:type="dxa"/>
            <w:shd w:val="clear" w:color="auto" w:fill="auto"/>
          </w:tcPr>
          <w:p w:rsidR="00171D1D" w:rsidRPr="00592BA7" w:rsidRDefault="00171D1D" w:rsidP="00592BA7">
            <w:pPr>
              <w:jc w:val="both"/>
              <w:rPr>
                <w:rFonts w:ascii="Times New Roman" w:hAnsi="Times New Roman" w:cs="Times New Roman"/>
                <w:sz w:val="20"/>
                <w:szCs w:val="20"/>
              </w:rPr>
            </w:pPr>
          </w:p>
        </w:tc>
      </w:tr>
      <w:tr w:rsidR="00171D1D" w:rsidRPr="00592BA7" w:rsidTr="00592BA7">
        <w:trPr>
          <w:trHeight w:val="20"/>
        </w:trPr>
        <w:tc>
          <w:tcPr>
            <w:tcW w:w="15906" w:type="dxa"/>
            <w:gridSpan w:val="41"/>
            <w:shd w:val="clear" w:color="auto" w:fill="auto"/>
            <w:noWrap/>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Группа 2. Строительство новых объектов централизованных систем газоснабжения не связанных с подключением новых объектов капитального строительства абонентов</w:t>
            </w:r>
          </w:p>
        </w:tc>
      </w:tr>
      <w:tr w:rsidR="00171D1D" w:rsidRPr="00592BA7" w:rsidTr="00592BA7">
        <w:trPr>
          <w:trHeight w:val="20"/>
        </w:trPr>
        <w:tc>
          <w:tcPr>
            <w:tcW w:w="15906" w:type="dxa"/>
            <w:gridSpan w:val="41"/>
            <w:shd w:val="clear" w:color="auto" w:fill="auto"/>
            <w:noWrap/>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2.1. Строительство новых сетей газоснабжения</w:t>
            </w:r>
          </w:p>
        </w:tc>
      </w:tr>
      <w:tr w:rsidR="00171D1D" w:rsidRPr="00592BA7" w:rsidTr="00592BA7">
        <w:trPr>
          <w:trHeight w:val="20"/>
        </w:trPr>
        <w:tc>
          <w:tcPr>
            <w:tcW w:w="15906" w:type="dxa"/>
            <w:gridSpan w:val="41"/>
            <w:shd w:val="clear" w:color="auto" w:fill="auto"/>
            <w:noWrap/>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Не планируется</w:t>
            </w:r>
          </w:p>
        </w:tc>
      </w:tr>
      <w:tr w:rsidR="00171D1D" w:rsidRPr="00592BA7" w:rsidTr="00592BA7">
        <w:trPr>
          <w:trHeight w:val="20"/>
        </w:trPr>
        <w:tc>
          <w:tcPr>
            <w:tcW w:w="15906" w:type="dxa"/>
            <w:gridSpan w:val="41"/>
            <w:shd w:val="clear" w:color="auto" w:fill="auto"/>
            <w:noWrap/>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2.2. Строительство иных объектов централизованных систем газоснабжения за исключением сетей газоснабжения</w:t>
            </w:r>
          </w:p>
        </w:tc>
      </w:tr>
      <w:tr w:rsidR="00171D1D" w:rsidRPr="00592BA7" w:rsidTr="00592BA7">
        <w:trPr>
          <w:trHeight w:val="20"/>
        </w:trPr>
        <w:tc>
          <w:tcPr>
            <w:tcW w:w="15906" w:type="dxa"/>
            <w:gridSpan w:val="41"/>
            <w:shd w:val="clear" w:color="auto" w:fill="auto"/>
            <w:noWrap/>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Не планируется</w:t>
            </w:r>
          </w:p>
        </w:tc>
      </w:tr>
      <w:tr w:rsidR="00171D1D" w:rsidRPr="00592BA7" w:rsidTr="00592BA7">
        <w:trPr>
          <w:trHeight w:val="20"/>
        </w:trPr>
        <w:tc>
          <w:tcPr>
            <w:tcW w:w="15906" w:type="dxa"/>
            <w:gridSpan w:val="41"/>
            <w:shd w:val="clear" w:color="auto" w:fill="auto"/>
            <w:noWrap/>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Группа 3. Модернизация или реконструкция существующих объектов централизованных систем газоснабжения в целях снижения уровня износа существующих объектов </w:t>
            </w:r>
          </w:p>
        </w:tc>
      </w:tr>
      <w:tr w:rsidR="00171D1D" w:rsidRPr="00592BA7" w:rsidTr="00592BA7">
        <w:trPr>
          <w:trHeight w:val="20"/>
        </w:trPr>
        <w:tc>
          <w:tcPr>
            <w:tcW w:w="15906" w:type="dxa"/>
            <w:gridSpan w:val="41"/>
            <w:shd w:val="clear" w:color="auto" w:fill="auto"/>
            <w:noWrap/>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Не планируется</w:t>
            </w:r>
          </w:p>
        </w:tc>
      </w:tr>
      <w:tr w:rsidR="00171D1D" w:rsidRPr="00592BA7" w:rsidTr="00592BA7">
        <w:trPr>
          <w:trHeight w:val="20"/>
        </w:trPr>
        <w:tc>
          <w:tcPr>
            <w:tcW w:w="15906" w:type="dxa"/>
            <w:gridSpan w:val="41"/>
            <w:shd w:val="clear" w:color="auto" w:fill="auto"/>
            <w:noWrap/>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Группа 4. Мероприятия, направленные на повышение экологической эффективности, достижение плановых значений показателей надежности, качества и энергоэффективности объектов централизованных систем газоснабжения не включенные в прочие группы мероприятий</w:t>
            </w:r>
          </w:p>
        </w:tc>
      </w:tr>
      <w:tr w:rsidR="00171D1D" w:rsidRPr="00592BA7" w:rsidTr="00592BA7">
        <w:trPr>
          <w:trHeight w:val="20"/>
        </w:trPr>
        <w:tc>
          <w:tcPr>
            <w:tcW w:w="15906" w:type="dxa"/>
            <w:gridSpan w:val="41"/>
            <w:shd w:val="clear" w:color="auto" w:fill="auto"/>
            <w:noWrap/>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Не планируется</w:t>
            </w:r>
          </w:p>
        </w:tc>
      </w:tr>
      <w:tr w:rsidR="00171D1D" w:rsidRPr="00592BA7" w:rsidTr="00592BA7">
        <w:trPr>
          <w:trHeight w:val="20"/>
        </w:trPr>
        <w:tc>
          <w:tcPr>
            <w:tcW w:w="15906" w:type="dxa"/>
            <w:gridSpan w:val="41"/>
            <w:shd w:val="clear" w:color="auto" w:fill="auto"/>
            <w:noWrap/>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Группа 5. Вывод из эксплуатации, консервация и демонтаж объектов централизованных систем газоснабжения</w:t>
            </w:r>
          </w:p>
        </w:tc>
      </w:tr>
      <w:tr w:rsidR="00171D1D" w:rsidRPr="00592BA7" w:rsidTr="00592BA7">
        <w:trPr>
          <w:trHeight w:val="20"/>
        </w:trPr>
        <w:tc>
          <w:tcPr>
            <w:tcW w:w="15906" w:type="dxa"/>
            <w:gridSpan w:val="41"/>
            <w:shd w:val="clear" w:color="auto" w:fill="auto"/>
            <w:noWrap/>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5.1. Вывод из эксплуатации, консервация и демонтаж сетей газоснабжения </w:t>
            </w:r>
          </w:p>
        </w:tc>
      </w:tr>
      <w:tr w:rsidR="00171D1D" w:rsidRPr="00592BA7" w:rsidTr="00592BA7">
        <w:trPr>
          <w:trHeight w:val="20"/>
        </w:trPr>
        <w:tc>
          <w:tcPr>
            <w:tcW w:w="15906" w:type="dxa"/>
            <w:gridSpan w:val="41"/>
            <w:shd w:val="clear" w:color="auto" w:fill="auto"/>
            <w:noWrap/>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Не планируется</w:t>
            </w:r>
          </w:p>
        </w:tc>
      </w:tr>
      <w:tr w:rsidR="00171D1D" w:rsidRPr="00592BA7" w:rsidTr="00592BA7">
        <w:trPr>
          <w:trHeight w:val="20"/>
        </w:trPr>
        <w:tc>
          <w:tcPr>
            <w:tcW w:w="15906" w:type="dxa"/>
            <w:gridSpan w:val="41"/>
            <w:shd w:val="clear" w:color="auto" w:fill="auto"/>
            <w:noWrap/>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5.2. Вывод из эксплуатации, консервация и демонтаж иных объектов централизованных систем электроснабжения за исключением сетей газоснабжения</w:t>
            </w:r>
          </w:p>
        </w:tc>
      </w:tr>
      <w:tr w:rsidR="00171D1D" w:rsidRPr="00592BA7" w:rsidTr="00592BA7">
        <w:trPr>
          <w:trHeight w:val="20"/>
        </w:trPr>
        <w:tc>
          <w:tcPr>
            <w:tcW w:w="15906" w:type="dxa"/>
            <w:gridSpan w:val="41"/>
            <w:shd w:val="clear" w:color="auto" w:fill="auto"/>
            <w:noWrap/>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Не планируется</w:t>
            </w:r>
          </w:p>
        </w:tc>
      </w:tr>
      <w:tr w:rsidR="00171D1D" w:rsidRPr="00592BA7" w:rsidTr="00592BA7">
        <w:trPr>
          <w:trHeight w:val="20"/>
        </w:trPr>
        <w:tc>
          <w:tcPr>
            <w:tcW w:w="594" w:type="dxa"/>
            <w:shd w:val="clear" w:color="auto" w:fill="auto"/>
            <w:noWrap/>
          </w:tcPr>
          <w:p w:rsidR="00171D1D" w:rsidRPr="00592BA7" w:rsidRDefault="00171D1D" w:rsidP="00592BA7">
            <w:pPr>
              <w:jc w:val="both"/>
              <w:rPr>
                <w:rFonts w:ascii="Times New Roman" w:hAnsi="Times New Roman" w:cs="Times New Roman"/>
                <w:sz w:val="20"/>
                <w:szCs w:val="20"/>
              </w:rPr>
            </w:pPr>
          </w:p>
        </w:tc>
        <w:tc>
          <w:tcPr>
            <w:tcW w:w="8649" w:type="dxa"/>
            <w:gridSpan w:val="18"/>
            <w:shd w:val="clear" w:color="auto" w:fill="auto"/>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Итого по группе системы газоснабжения</w:t>
            </w:r>
          </w:p>
        </w:tc>
        <w:tc>
          <w:tcPr>
            <w:tcW w:w="567" w:type="dxa"/>
            <w:gridSpan w:val="3"/>
            <w:shd w:val="clear" w:color="auto" w:fill="auto"/>
          </w:tcPr>
          <w:p w:rsidR="00171D1D" w:rsidRPr="00592BA7" w:rsidRDefault="00171D1D" w:rsidP="00592BA7">
            <w:pPr>
              <w:jc w:val="both"/>
              <w:rPr>
                <w:rFonts w:ascii="Times New Roman" w:hAnsi="Times New Roman" w:cs="Times New Roman"/>
                <w:sz w:val="20"/>
                <w:szCs w:val="20"/>
              </w:rPr>
            </w:pPr>
          </w:p>
        </w:tc>
        <w:tc>
          <w:tcPr>
            <w:tcW w:w="567" w:type="dxa"/>
            <w:gridSpan w:val="3"/>
            <w:shd w:val="clear" w:color="auto" w:fill="auto"/>
          </w:tcPr>
          <w:p w:rsidR="00171D1D" w:rsidRPr="00592BA7" w:rsidRDefault="00171D1D" w:rsidP="00592BA7">
            <w:pPr>
              <w:jc w:val="both"/>
              <w:rPr>
                <w:rFonts w:ascii="Times New Roman" w:hAnsi="Times New Roman" w:cs="Times New Roman"/>
                <w:sz w:val="20"/>
                <w:szCs w:val="20"/>
              </w:rPr>
            </w:pPr>
          </w:p>
        </w:tc>
        <w:tc>
          <w:tcPr>
            <w:tcW w:w="567" w:type="dxa"/>
            <w:gridSpan w:val="3"/>
            <w:shd w:val="clear" w:color="auto" w:fill="auto"/>
          </w:tcPr>
          <w:p w:rsidR="00171D1D" w:rsidRPr="00592BA7" w:rsidRDefault="00171D1D" w:rsidP="00592BA7">
            <w:pPr>
              <w:jc w:val="both"/>
              <w:rPr>
                <w:rFonts w:ascii="Times New Roman" w:hAnsi="Times New Roman" w:cs="Times New Roman"/>
                <w:sz w:val="20"/>
                <w:szCs w:val="20"/>
              </w:rPr>
            </w:pPr>
          </w:p>
        </w:tc>
        <w:tc>
          <w:tcPr>
            <w:tcW w:w="567" w:type="dxa"/>
            <w:gridSpan w:val="4"/>
            <w:shd w:val="clear" w:color="auto" w:fill="auto"/>
          </w:tcPr>
          <w:p w:rsidR="00171D1D" w:rsidRPr="00592BA7" w:rsidRDefault="00171D1D" w:rsidP="00592BA7">
            <w:pPr>
              <w:jc w:val="both"/>
              <w:rPr>
                <w:rFonts w:ascii="Times New Roman" w:hAnsi="Times New Roman" w:cs="Times New Roman"/>
                <w:sz w:val="20"/>
                <w:szCs w:val="20"/>
              </w:rPr>
            </w:pPr>
          </w:p>
        </w:tc>
        <w:tc>
          <w:tcPr>
            <w:tcW w:w="567" w:type="dxa"/>
            <w:shd w:val="clear" w:color="auto" w:fill="auto"/>
          </w:tcPr>
          <w:p w:rsidR="00171D1D" w:rsidRPr="00592BA7" w:rsidRDefault="00171D1D" w:rsidP="00592BA7">
            <w:pPr>
              <w:jc w:val="both"/>
              <w:rPr>
                <w:rFonts w:ascii="Times New Roman" w:hAnsi="Times New Roman" w:cs="Times New Roman"/>
                <w:sz w:val="20"/>
                <w:szCs w:val="20"/>
              </w:rPr>
            </w:pPr>
          </w:p>
        </w:tc>
        <w:tc>
          <w:tcPr>
            <w:tcW w:w="709" w:type="dxa"/>
            <w:gridSpan w:val="2"/>
            <w:shd w:val="clear" w:color="auto" w:fill="auto"/>
          </w:tcPr>
          <w:p w:rsidR="00171D1D" w:rsidRPr="00592BA7" w:rsidRDefault="00171D1D" w:rsidP="00592BA7">
            <w:pPr>
              <w:jc w:val="both"/>
              <w:rPr>
                <w:rFonts w:ascii="Times New Roman" w:hAnsi="Times New Roman" w:cs="Times New Roman"/>
                <w:sz w:val="20"/>
                <w:szCs w:val="20"/>
              </w:rPr>
            </w:pPr>
          </w:p>
        </w:tc>
        <w:tc>
          <w:tcPr>
            <w:tcW w:w="709" w:type="dxa"/>
            <w:gridSpan w:val="2"/>
            <w:shd w:val="clear" w:color="auto" w:fill="auto"/>
          </w:tcPr>
          <w:p w:rsidR="00171D1D" w:rsidRPr="00592BA7" w:rsidRDefault="00171D1D" w:rsidP="00592BA7">
            <w:pPr>
              <w:jc w:val="both"/>
              <w:rPr>
                <w:rFonts w:ascii="Times New Roman" w:hAnsi="Times New Roman" w:cs="Times New Roman"/>
                <w:sz w:val="20"/>
                <w:szCs w:val="20"/>
              </w:rPr>
            </w:pPr>
          </w:p>
        </w:tc>
        <w:tc>
          <w:tcPr>
            <w:tcW w:w="992" w:type="dxa"/>
            <w:gridSpan w:val="2"/>
            <w:shd w:val="clear" w:color="auto" w:fill="auto"/>
          </w:tcPr>
          <w:p w:rsidR="00171D1D" w:rsidRPr="00592BA7" w:rsidRDefault="00171D1D" w:rsidP="00592BA7">
            <w:pPr>
              <w:jc w:val="both"/>
              <w:rPr>
                <w:rFonts w:ascii="Times New Roman" w:hAnsi="Times New Roman" w:cs="Times New Roman"/>
                <w:sz w:val="20"/>
                <w:szCs w:val="20"/>
              </w:rPr>
            </w:pPr>
          </w:p>
        </w:tc>
        <w:tc>
          <w:tcPr>
            <w:tcW w:w="567" w:type="dxa"/>
            <w:shd w:val="clear" w:color="auto" w:fill="auto"/>
          </w:tcPr>
          <w:p w:rsidR="00171D1D" w:rsidRPr="00592BA7" w:rsidRDefault="00171D1D" w:rsidP="00592BA7">
            <w:pPr>
              <w:jc w:val="both"/>
              <w:rPr>
                <w:rFonts w:ascii="Times New Roman" w:hAnsi="Times New Roman" w:cs="Times New Roman"/>
                <w:sz w:val="20"/>
                <w:szCs w:val="20"/>
              </w:rPr>
            </w:pPr>
          </w:p>
        </w:tc>
        <w:tc>
          <w:tcPr>
            <w:tcW w:w="851" w:type="dxa"/>
            <w:shd w:val="clear" w:color="auto" w:fill="auto"/>
          </w:tcPr>
          <w:p w:rsidR="00171D1D" w:rsidRPr="00592BA7" w:rsidRDefault="00171D1D" w:rsidP="00592BA7">
            <w:pPr>
              <w:jc w:val="both"/>
              <w:rPr>
                <w:rFonts w:ascii="Times New Roman" w:hAnsi="Times New Roman" w:cs="Times New Roman"/>
                <w:sz w:val="20"/>
                <w:szCs w:val="20"/>
              </w:rPr>
            </w:pPr>
          </w:p>
        </w:tc>
      </w:tr>
      <w:tr w:rsidR="00171D1D" w:rsidRPr="00592BA7" w:rsidTr="00592BA7">
        <w:trPr>
          <w:trHeight w:val="20"/>
        </w:trPr>
        <w:tc>
          <w:tcPr>
            <w:tcW w:w="15906" w:type="dxa"/>
            <w:gridSpan w:val="41"/>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Обращение с ТКО</w:t>
            </w:r>
          </w:p>
        </w:tc>
      </w:tr>
      <w:tr w:rsidR="00171D1D" w:rsidRPr="00592BA7" w:rsidTr="00592BA7">
        <w:trPr>
          <w:trHeight w:val="20"/>
        </w:trPr>
        <w:tc>
          <w:tcPr>
            <w:tcW w:w="15906" w:type="dxa"/>
            <w:gridSpan w:val="41"/>
            <w:shd w:val="clear" w:color="auto" w:fill="auto"/>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Группа 1. Строительство, модернизация или реконструкция объектов в системе обращения с ТКО</w:t>
            </w:r>
          </w:p>
        </w:tc>
      </w:tr>
      <w:tr w:rsidR="00171D1D" w:rsidRPr="00592BA7" w:rsidTr="00592BA7">
        <w:trPr>
          <w:trHeight w:val="20"/>
        </w:trPr>
        <w:tc>
          <w:tcPr>
            <w:tcW w:w="594"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1.1</w:t>
            </w:r>
          </w:p>
        </w:tc>
        <w:tc>
          <w:tcPr>
            <w:tcW w:w="2411" w:type="dxa"/>
            <w:gridSpan w:val="2"/>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Строительство мусороперегрузочной площадка с предварительной сортировкой</w:t>
            </w:r>
          </w:p>
        </w:tc>
        <w:tc>
          <w:tcPr>
            <w:tcW w:w="1411" w:type="dxa"/>
            <w:gridSpan w:val="2"/>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СТП Чувашской Республики</w:t>
            </w:r>
          </w:p>
        </w:tc>
        <w:tc>
          <w:tcPr>
            <w:tcW w:w="1283"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д. Шумерля</w:t>
            </w:r>
          </w:p>
        </w:tc>
        <w:tc>
          <w:tcPr>
            <w:tcW w:w="1368" w:type="dxa"/>
            <w:gridSpan w:val="3"/>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Накопление, хранение сортировка отходов</w:t>
            </w:r>
          </w:p>
        </w:tc>
        <w:tc>
          <w:tcPr>
            <w:tcW w:w="725" w:type="dxa"/>
            <w:gridSpan w:val="3"/>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30000 тонн/</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год</w:t>
            </w:r>
          </w:p>
        </w:tc>
        <w:tc>
          <w:tcPr>
            <w:tcW w:w="725" w:type="dxa"/>
            <w:gridSpan w:val="4"/>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2034</w:t>
            </w:r>
          </w:p>
        </w:tc>
        <w:tc>
          <w:tcPr>
            <w:tcW w:w="726" w:type="dxa"/>
            <w:gridSpan w:val="3"/>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2034</w:t>
            </w:r>
          </w:p>
        </w:tc>
        <w:tc>
          <w:tcPr>
            <w:tcW w:w="567" w:type="dxa"/>
            <w:gridSpan w:val="3"/>
            <w:shd w:val="clear" w:color="auto" w:fill="auto"/>
            <w:vAlign w:val="center"/>
          </w:tcPr>
          <w:p w:rsidR="00171D1D" w:rsidRPr="00592BA7" w:rsidRDefault="00171D1D" w:rsidP="00592BA7">
            <w:pPr>
              <w:jc w:val="both"/>
              <w:rPr>
                <w:rFonts w:ascii="Times New Roman" w:hAnsi="Times New Roman" w:cs="Times New Roman"/>
                <w:sz w:val="20"/>
                <w:szCs w:val="20"/>
              </w:rPr>
            </w:pPr>
          </w:p>
        </w:tc>
        <w:tc>
          <w:tcPr>
            <w:tcW w:w="567" w:type="dxa"/>
            <w:gridSpan w:val="3"/>
            <w:shd w:val="clear" w:color="auto" w:fill="auto"/>
            <w:vAlign w:val="center"/>
          </w:tcPr>
          <w:p w:rsidR="00171D1D" w:rsidRPr="00592BA7" w:rsidRDefault="00171D1D" w:rsidP="00592BA7">
            <w:pPr>
              <w:jc w:val="both"/>
              <w:rPr>
                <w:rFonts w:ascii="Times New Roman" w:hAnsi="Times New Roman" w:cs="Times New Roman"/>
                <w:sz w:val="20"/>
                <w:szCs w:val="20"/>
              </w:rPr>
            </w:pPr>
          </w:p>
        </w:tc>
        <w:tc>
          <w:tcPr>
            <w:tcW w:w="567" w:type="dxa"/>
            <w:gridSpan w:val="3"/>
            <w:shd w:val="clear" w:color="auto" w:fill="auto"/>
            <w:vAlign w:val="center"/>
          </w:tcPr>
          <w:p w:rsidR="00171D1D" w:rsidRPr="00592BA7" w:rsidRDefault="00171D1D" w:rsidP="00592BA7">
            <w:pPr>
              <w:jc w:val="both"/>
              <w:rPr>
                <w:rFonts w:ascii="Times New Roman" w:hAnsi="Times New Roman" w:cs="Times New Roman"/>
                <w:sz w:val="20"/>
                <w:szCs w:val="20"/>
              </w:rPr>
            </w:pPr>
          </w:p>
        </w:tc>
        <w:tc>
          <w:tcPr>
            <w:tcW w:w="542" w:type="dxa"/>
            <w:gridSpan w:val="2"/>
            <w:shd w:val="clear" w:color="auto" w:fill="auto"/>
            <w:vAlign w:val="center"/>
          </w:tcPr>
          <w:p w:rsidR="00171D1D" w:rsidRPr="00592BA7" w:rsidRDefault="00171D1D" w:rsidP="00592BA7">
            <w:pPr>
              <w:jc w:val="both"/>
              <w:rPr>
                <w:rFonts w:ascii="Times New Roman" w:hAnsi="Times New Roman" w:cs="Times New Roman"/>
                <w:sz w:val="20"/>
                <w:szCs w:val="20"/>
              </w:rPr>
            </w:pPr>
          </w:p>
        </w:tc>
        <w:tc>
          <w:tcPr>
            <w:tcW w:w="592" w:type="dxa"/>
            <w:gridSpan w:val="3"/>
            <w:shd w:val="clear" w:color="auto" w:fill="auto"/>
            <w:vAlign w:val="center"/>
          </w:tcPr>
          <w:p w:rsidR="00171D1D" w:rsidRPr="00592BA7" w:rsidRDefault="00171D1D" w:rsidP="00592BA7">
            <w:pPr>
              <w:jc w:val="both"/>
              <w:rPr>
                <w:rFonts w:ascii="Times New Roman" w:hAnsi="Times New Roman" w:cs="Times New Roman"/>
                <w:sz w:val="20"/>
                <w:szCs w:val="20"/>
              </w:rPr>
            </w:pPr>
          </w:p>
        </w:tc>
        <w:tc>
          <w:tcPr>
            <w:tcW w:w="709" w:type="dxa"/>
            <w:gridSpan w:val="2"/>
            <w:shd w:val="clear" w:color="auto" w:fill="auto"/>
            <w:vAlign w:val="center"/>
          </w:tcPr>
          <w:p w:rsidR="00171D1D" w:rsidRPr="00592BA7" w:rsidRDefault="00171D1D" w:rsidP="00592BA7">
            <w:pPr>
              <w:jc w:val="both"/>
              <w:rPr>
                <w:rFonts w:ascii="Times New Roman" w:hAnsi="Times New Roman" w:cs="Times New Roman"/>
                <w:sz w:val="20"/>
                <w:szCs w:val="20"/>
              </w:rPr>
            </w:pPr>
          </w:p>
        </w:tc>
        <w:tc>
          <w:tcPr>
            <w:tcW w:w="709" w:type="dxa"/>
            <w:gridSpan w:val="2"/>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2034</w:t>
            </w:r>
          </w:p>
        </w:tc>
        <w:tc>
          <w:tcPr>
            <w:tcW w:w="992" w:type="dxa"/>
            <w:gridSpan w:val="2"/>
            <w:shd w:val="clear" w:color="auto" w:fill="auto"/>
            <w:vAlign w:val="center"/>
          </w:tcPr>
          <w:p w:rsidR="00171D1D" w:rsidRPr="00592BA7" w:rsidRDefault="00171D1D" w:rsidP="00592BA7">
            <w:pPr>
              <w:jc w:val="both"/>
              <w:rPr>
                <w:rFonts w:ascii="Times New Roman" w:hAnsi="Times New Roman" w:cs="Times New Roman"/>
                <w:sz w:val="20"/>
                <w:szCs w:val="20"/>
              </w:rPr>
            </w:pPr>
          </w:p>
        </w:tc>
        <w:tc>
          <w:tcPr>
            <w:tcW w:w="567" w:type="dxa"/>
            <w:shd w:val="clear" w:color="auto" w:fill="auto"/>
            <w:vAlign w:val="center"/>
          </w:tcPr>
          <w:p w:rsidR="00171D1D" w:rsidRPr="00592BA7" w:rsidRDefault="00171D1D" w:rsidP="00592BA7">
            <w:pPr>
              <w:jc w:val="both"/>
              <w:rPr>
                <w:rFonts w:ascii="Times New Roman" w:hAnsi="Times New Roman" w:cs="Times New Roman"/>
                <w:sz w:val="20"/>
                <w:szCs w:val="20"/>
              </w:rPr>
            </w:pPr>
          </w:p>
        </w:tc>
        <w:tc>
          <w:tcPr>
            <w:tcW w:w="851"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Республиканский бюджет</w:t>
            </w:r>
          </w:p>
        </w:tc>
      </w:tr>
      <w:tr w:rsidR="00171D1D" w:rsidRPr="00592BA7" w:rsidTr="00592BA7">
        <w:trPr>
          <w:trHeight w:val="20"/>
        </w:trPr>
        <w:tc>
          <w:tcPr>
            <w:tcW w:w="15906" w:type="dxa"/>
            <w:gridSpan w:val="41"/>
            <w:shd w:val="clear" w:color="auto" w:fill="auto"/>
            <w:noWrap/>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Группа 2. Вывод из эксплуатации, консервация и демонтаж объектов в системе обращения с ТКО</w:t>
            </w:r>
          </w:p>
        </w:tc>
      </w:tr>
      <w:tr w:rsidR="00171D1D" w:rsidRPr="00592BA7" w:rsidTr="00592BA7">
        <w:trPr>
          <w:trHeight w:val="20"/>
        </w:trPr>
        <w:tc>
          <w:tcPr>
            <w:tcW w:w="15906" w:type="dxa"/>
            <w:gridSpan w:val="41"/>
            <w:shd w:val="clear" w:color="auto" w:fill="auto"/>
            <w:noWrap/>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Не планируется</w:t>
            </w:r>
          </w:p>
        </w:tc>
      </w:tr>
      <w:tr w:rsidR="00171D1D" w:rsidRPr="00592BA7" w:rsidTr="00592BA7">
        <w:trPr>
          <w:trHeight w:val="20"/>
        </w:trPr>
        <w:tc>
          <w:tcPr>
            <w:tcW w:w="594" w:type="dxa"/>
            <w:shd w:val="clear" w:color="auto" w:fill="auto"/>
            <w:noWrap/>
          </w:tcPr>
          <w:p w:rsidR="00171D1D" w:rsidRPr="00592BA7" w:rsidRDefault="00171D1D" w:rsidP="00592BA7">
            <w:pPr>
              <w:jc w:val="both"/>
              <w:rPr>
                <w:rFonts w:ascii="Times New Roman" w:hAnsi="Times New Roman" w:cs="Times New Roman"/>
                <w:sz w:val="20"/>
                <w:szCs w:val="20"/>
              </w:rPr>
            </w:pPr>
          </w:p>
        </w:tc>
        <w:tc>
          <w:tcPr>
            <w:tcW w:w="8626" w:type="dxa"/>
            <w:gridSpan w:val="17"/>
            <w:shd w:val="clear" w:color="auto" w:fill="auto"/>
            <w:noWrap/>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Итого по программе</w:t>
            </w:r>
          </w:p>
        </w:tc>
        <w:tc>
          <w:tcPr>
            <w:tcW w:w="567" w:type="dxa"/>
            <w:gridSpan w:val="2"/>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4,00</w:t>
            </w:r>
          </w:p>
        </w:tc>
        <w:tc>
          <w:tcPr>
            <w:tcW w:w="572" w:type="dxa"/>
            <w:gridSpan w:val="4"/>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w:t>
            </w:r>
          </w:p>
        </w:tc>
        <w:tc>
          <w:tcPr>
            <w:tcW w:w="571" w:type="dxa"/>
            <w:gridSpan w:val="3"/>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10,00</w:t>
            </w:r>
          </w:p>
        </w:tc>
        <w:tc>
          <w:tcPr>
            <w:tcW w:w="571" w:type="dxa"/>
            <w:gridSpan w:val="4"/>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0,00</w:t>
            </w:r>
          </w:p>
        </w:tc>
        <w:tc>
          <w:tcPr>
            <w:tcW w:w="577" w:type="dxa"/>
            <w:gridSpan w:val="2"/>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w:t>
            </w:r>
          </w:p>
        </w:tc>
        <w:tc>
          <w:tcPr>
            <w:tcW w:w="698" w:type="dxa"/>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7,00</w:t>
            </w:r>
          </w:p>
        </w:tc>
        <w:tc>
          <w:tcPr>
            <w:tcW w:w="708" w:type="dxa"/>
            <w:gridSpan w:val="2"/>
            <w:shd w:val="clear" w:color="auto" w:fill="auto"/>
            <w:noWrap/>
            <w:vAlign w:val="center"/>
          </w:tcPr>
          <w:p w:rsidR="00171D1D" w:rsidRPr="00592BA7" w:rsidRDefault="00171D1D" w:rsidP="00592BA7">
            <w:pPr>
              <w:jc w:val="both"/>
              <w:rPr>
                <w:rFonts w:ascii="Times New Roman" w:hAnsi="Times New Roman" w:cs="Times New Roman"/>
                <w:sz w:val="20"/>
                <w:szCs w:val="20"/>
              </w:rPr>
            </w:pPr>
          </w:p>
        </w:tc>
        <w:tc>
          <w:tcPr>
            <w:tcW w:w="994" w:type="dxa"/>
            <w:gridSpan w:val="2"/>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22,50</w:t>
            </w:r>
          </w:p>
        </w:tc>
        <w:tc>
          <w:tcPr>
            <w:tcW w:w="577" w:type="dxa"/>
            <w:gridSpan w:val="2"/>
            <w:shd w:val="clear" w:color="auto" w:fill="auto"/>
            <w:noWrap/>
            <w:vAlign w:val="center"/>
          </w:tcPr>
          <w:p w:rsidR="00171D1D" w:rsidRPr="00592BA7" w:rsidRDefault="00171D1D" w:rsidP="00592BA7">
            <w:pPr>
              <w:jc w:val="both"/>
              <w:rPr>
                <w:rFonts w:ascii="Times New Roman" w:hAnsi="Times New Roman" w:cs="Times New Roman"/>
                <w:sz w:val="20"/>
                <w:szCs w:val="20"/>
              </w:rPr>
            </w:pPr>
          </w:p>
        </w:tc>
        <w:tc>
          <w:tcPr>
            <w:tcW w:w="851" w:type="dxa"/>
            <w:shd w:val="clear" w:color="auto" w:fill="auto"/>
            <w:noWrap/>
            <w:vAlign w:val="center"/>
          </w:tcPr>
          <w:p w:rsidR="00171D1D" w:rsidRPr="00592BA7" w:rsidRDefault="00171D1D" w:rsidP="00592BA7">
            <w:pPr>
              <w:jc w:val="both"/>
              <w:rPr>
                <w:rFonts w:ascii="Times New Roman" w:hAnsi="Times New Roman" w:cs="Times New Roman"/>
                <w:sz w:val="20"/>
                <w:szCs w:val="20"/>
              </w:rPr>
            </w:pPr>
          </w:p>
        </w:tc>
      </w:tr>
    </w:tbl>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Таблица 13.1.2</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Ресурсное обеспечение реализации муниципальной программы Шумерлинского муниципального округа Чувашской Республики «Энергосбережение и повышение энергетической эффективности в Шумерлинском муниципальном округе Чувашской Республики на 2022-2025 годы и на период до 2035 года»</w:t>
      </w:r>
    </w:p>
    <w:tbl>
      <w:tblPr>
        <w:tblW w:w="5517" w:type="pct"/>
        <w:tblInd w:w="-714" w:type="dxa"/>
        <w:tblLayout w:type="fixed"/>
        <w:tblLook w:val="04A0" w:firstRow="1" w:lastRow="0" w:firstColumn="1" w:lastColumn="0" w:noHBand="0" w:noVBand="1"/>
      </w:tblPr>
      <w:tblGrid>
        <w:gridCol w:w="1232"/>
        <w:gridCol w:w="1808"/>
        <w:gridCol w:w="1126"/>
        <w:gridCol w:w="2881"/>
        <w:gridCol w:w="1109"/>
        <w:gridCol w:w="42"/>
        <w:gridCol w:w="793"/>
        <w:gridCol w:w="72"/>
        <w:gridCol w:w="888"/>
        <w:gridCol w:w="959"/>
        <w:gridCol w:w="1325"/>
        <w:gridCol w:w="679"/>
        <w:gridCol w:w="679"/>
        <w:gridCol w:w="679"/>
        <w:gridCol w:w="679"/>
        <w:gridCol w:w="679"/>
        <w:gridCol w:w="685"/>
      </w:tblGrid>
      <w:tr w:rsidR="00171D1D" w:rsidRPr="00592BA7" w:rsidTr="00592BA7">
        <w:trPr>
          <w:trHeight w:val="255"/>
          <w:tblHeader/>
        </w:trPr>
        <w:tc>
          <w:tcPr>
            <w:tcW w:w="37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Статус</w:t>
            </w:r>
          </w:p>
        </w:tc>
        <w:tc>
          <w:tcPr>
            <w:tcW w:w="554"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Наименование муниципальной программы, основного мероприятия, мероприятия</w:t>
            </w:r>
          </w:p>
        </w:tc>
        <w:tc>
          <w:tcPr>
            <w:tcW w:w="345"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Задача муниципальной программы Чувашской Республики</w:t>
            </w:r>
          </w:p>
        </w:tc>
        <w:tc>
          <w:tcPr>
            <w:tcW w:w="88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Ответственный исполнитель, соисполнители, участники</w:t>
            </w:r>
          </w:p>
        </w:tc>
        <w:tc>
          <w:tcPr>
            <w:tcW w:w="1184" w:type="pct"/>
            <w:gridSpan w:val="6"/>
            <w:tcBorders>
              <w:top w:val="single" w:sz="4" w:space="0" w:color="auto"/>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Код бюджетной классификации</w:t>
            </w:r>
          </w:p>
        </w:tc>
        <w:tc>
          <w:tcPr>
            <w:tcW w:w="40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Источники финансирования</w:t>
            </w:r>
          </w:p>
        </w:tc>
        <w:tc>
          <w:tcPr>
            <w:tcW w:w="1250" w:type="pct"/>
            <w:gridSpan w:val="6"/>
            <w:tcBorders>
              <w:top w:val="single" w:sz="4" w:space="0" w:color="auto"/>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Расходы по годам, тыс. рублей</w:t>
            </w:r>
          </w:p>
        </w:tc>
      </w:tr>
      <w:tr w:rsidR="00171D1D" w:rsidRPr="00592BA7" w:rsidTr="00592BA7">
        <w:trPr>
          <w:trHeight w:val="255"/>
          <w:tblHeader/>
        </w:trPr>
        <w:tc>
          <w:tcPr>
            <w:tcW w:w="378"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0"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главный распорядитель бюджетных средств</w:t>
            </w:r>
          </w:p>
        </w:tc>
        <w:tc>
          <w:tcPr>
            <w:tcW w:w="256" w:type="pct"/>
            <w:gridSpan w:val="2"/>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раздел, подраздел</w:t>
            </w:r>
          </w:p>
        </w:tc>
        <w:tc>
          <w:tcPr>
            <w:tcW w:w="293" w:type="pct"/>
            <w:gridSpan w:val="2"/>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целевая статья расходов</w:t>
            </w:r>
          </w:p>
        </w:tc>
        <w:tc>
          <w:tcPr>
            <w:tcW w:w="294"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группа (подгруппа) вида расходов</w:t>
            </w:r>
          </w:p>
        </w:tc>
        <w:tc>
          <w:tcPr>
            <w:tcW w:w="406"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2022</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2023</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2024</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2025</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2026-2030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2031-2035</w:t>
            </w:r>
          </w:p>
        </w:tc>
      </w:tr>
      <w:tr w:rsidR="00171D1D" w:rsidRPr="00592BA7" w:rsidTr="00592BA7">
        <w:trPr>
          <w:trHeight w:val="255"/>
          <w:tblHeader/>
        </w:trPr>
        <w:tc>
          <w:tcPr>
            <w:tcW w:w="378" w:type="pct"/>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w:t>
            </w:r>
          </w:p>
        </w:tc>
        <w:tc>
          <w:tcPr>
            <w:tcW w:w="554"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w:t>
            </w:r>
          </w:p>
        </w:tc>
        <w:tc>
          <w:tcPr>
            <w:tcW w:w="345"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w:t>
            </w:r>
          </w:p>
        </w:tc>
        <w:tc>
          <w:tcPr>
            <w:tcW w:w="883"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4</w:t>
            </w:r>
          </w:p>
        </w:tc>
        <w:tc>
          <w:tcPr>
            <w:tcW w:w="340"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5</w:t>
            </w:r>
          </w:p>
        </w:tc>
        <w:tc>
          <w:tcPr>
            <w:tcW w:w="256" w:type="pct"/>
            <w:gridSpan w:val="2"/>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6</w:t>
            </w:r>
          </w:p>
        </w:tc>
        <w:tc>
          <w:tcPr>
            <w:tcW w:w="293" w:type="pct"/>
            <w:gridSpan w:val="2"/>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7</w:t>
            </w:r>
          </w:p>
        </w:tc>
        <w:tc>
          <w:tcPr>
            <w:tcW w:w="294"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8</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9</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11</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12</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13</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14</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15</w:t>
            </w:r>
          </w:p>
        </w:tc>
      </w:tr>
      <w:tr w:rsidR="00171D1D" w:rsidRPr="00592BA7" w:rsidTr="00592BA7">
        <w:trPr>
          <w:trHeight w:val="255"/>
        </w:trPr>
        <w:tc>
          <w:tcPr>
            <w:tcW w:w="378" w:type="pct"/>
            <w:vMerge w:val="restart"/>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Муниципальная программа Шумерлинского муниципального округа Чувашской Республики</w:t>
            </w:r>
          </w:p>
        </w:tc>
        <w:tc>
          <w:tcPr>
            <w:tcW w:w="554" w:type="pct"/>
            <w:vMerge w:val="restart"/>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Энергосбережение и повышение энергетической эффективности в Шумерлинском муниципальном округе Чувашской Республики на 2022-2025 годы и на период до 2035 года</w:t>
            </w:r>
          </w:p>
        </w:tc>
        <w:tc>
          <w:tcPr>
            <w:tcW w:w="345" w:type="pct"/>
            <w:vMerge w:val="restart"/>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w:t>
            </w:r>
          </w:p>
        </w:tc>
        <w:tc>
          <w:tcPr>
            <w:tcW w:w="883" w:type="pct"/>
            <w:vMerge w:val="restart"/>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ответственный исполнитель - отдел строительства, дорожного хозяйства и жилищно-коммунального хозяйства Управления по благоустройству  и развитию администрации Шумерлинского муниципального округа Чувашской Республики, соисполнители - отдел сельского хозяйства и экологии Шумерлинского муниципального округа Чувашской Республики (по согласованию), отдел образования, спорта и молодежной политики Шумерлинского муниципального округа Чувашской Республики (по согласованию), участники - территориальные отделы Шумерлинского </w:t>
            </w:r>
            <w:r w:rsidRPr="00592BA7">
              <w:rPr>
                <w:rFonts w:ascii="Times New Roman" w:hAnsi="Times New Roman" w:cs="Times New Roman"/>
                <w:sz w:val="20"/>
                <w:szCs w:val="20"/>
                <w:lang w:eastAsia="ru-RU"/>
              </w:rPr>
              <w:lastRenderedPageBreak/>
              <w:t>муниципального округа Чувашской Республики (по согласованию), муниципальные учреждения Шумерлинского муниципального округа Чувашской Республики (по согласованию), ресурсоснабжающие организации (по согласованию), управляющие компании, товарищества собственников жилья и недвижимости (по согласованию), автономное учреждение Чувашской Республики «Центр энергосбережения и повышения энергетической эффективности» Министерства промышленности и энергетики Чувашской Республики (по согласованию)</w:t>
            </w:r>
          </w:p>
        </w:tc>
        <w:tc>
          <w:tcPr>
            <w:tcW w:w="340"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x</w:t>
            </w:r>
          </w:p>
        </w:tc>
        <w:tc>
          <w:tcPr>
            <w:tcW w:w="256" w:type="pct"/>
            <w:gridSpan w:val="2"/>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3" w:type="pct"/>
            <w:gridSpan w:val="2"/>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Ч740000000</w:t>
            </w:r>
          </w:p>
        </w:tc>
        <w:tc>
          <w:tcPr>
            <w:tcW w:w="294"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всего</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331,7</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956,4</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988,5</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7846,9</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20845,7</w:t>
            </w:r>
          </w:p>
        </w:tc>
      </w:tr>
      <w:tr w:rsidR="00171D1D" w:rsidRPr="00592BA7" w:rsidTr="00592BA7">
        <w:trPr>
          <w:trHeight w:val="255"/>
        </w:trPr>
        <w:tc>
          <w:tcPr>
            <w:tcW w:w="378" w:type="pct"/>
            <w:vMerge/>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0"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56" w:type="pct"/>
            <w:gridSpan w:val="2"/>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3" w:type="pct"/>
            <w:gridSpan w:val="2"/>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федеральный бюджет</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0"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56" w:type="pct"/>
            <w:gridSpan w:val="2"/>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3" w:type="pct"/>
            <w:gridSpan w:val="2"/>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республиканский бюджет Чувашской Республики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0"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56" w:type="pct"/>
            <w:gridSpan w:val="2"/>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3" w:type="pct"/>
            <w:gridSpan w:val="2"/>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бюджет Шумерлинского муниципального округа</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44,0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353,0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636,0</w:t>
            </w:r>
          </w:p>
        </w:tc>
      </w:tr>
      <w:tr w:rsidR="00171D1D" w:rsidRPr="00592BA7" w:rsidTr="00592BA7">
        <w:trPr>
          <w:trHeight w:val="255"/>
        </w:trPr>
        <w:tc>
          <w:tcPr>
            <w:tcW w:w="378" w:type="pct"/>
            <w:vMerge/>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0"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56" w:type="pct"/>
            <w:gridSpan w:val="2"/>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3" w:type="pct"/>
            <w:gridSpan w:val="2"/>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внебюджетные источники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331,7</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956,4</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944,5</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7493,9</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20209,7</w:t>
            </w:r>
          </w:p>
        </w:tc>
      </w:tr>
      <w:tr w:rsidR="00171D1D" w:rsidRPr="00592BA7" w:rsidTr="00592BA7">
        <w:trPr>
          <w:trHeight w:val="255"/>
        </w:trPr>
        <w:tc>
          <w:tcPr>
            <w:tcW w:w="5000" w:type="pct"/>
            <w:gridSpan w:val="17"/>
            <w:tcBorders>
              <w:top w:val="single" w:sz="4" w:space="0" w:color="auto"/>
              <w:left w:val="single" w:sz="4" w:space="0" w:color="auto"/>
              <w:bottom w:val="single" w:sz="4" w:space="0" w:color="auto"/>
              <w:right w:val="single" w:sz="4" w:space="0" w:color="000000"/>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Цель "повышение энергетической эффективности при производстве, передаче и потреблении энергетических ресурсов и уменьшение негативного воздействия на окружающую среду"</w:t>
            </w:r>
          </w:p>
        </w:tc>
      </w:tr>
      <w:tr w:rsidR="00171D1D" w:rsidRPr="00592BA7" w:rsidTr="00592BA7">
        <w:trPr>
          <w:trHeight w:val="255"/>
        </w:trPr>
        <w:tc>
          <w:tcPr>
            <w:tcW w:w="378"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Основное мероприятие 1</w:t>
            </w:r>
          </w:p>
        </w:tc>
        <w:tc>
          <w:tcPr>
            <w:tcW w:w="554"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Энергосбережение и повышение энергоэффективности в бюджетных учреждениях</w:t>
            </w:r>
          </w:p>
        </w:tc>
        <w:tc>
          <w:tcPr>
            <w:tcW w:w="345"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снижение удельного потребления топливно-энергетических ресурсов в бюджетной сфере в сопоставимых условиях с увеличением оснащенности приборами учета</w:t>
            </w:r>
          </w:p>
        </w:tc>
        <w:tc>
          <w:tcPr>
            <w:tcW w:w="883"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ответственный исполнитель - отдел строительства, дорожного хозяйства и жилищно-коммунального хозяйства Управления по благоустройству  и развитию администрации Шумерлинского муниципального округа Чувашской Республики, участники - территориальные отделы Шумерлинского муниципального округа Чувашской Республики, муниципальные учреждения Шумерлинского муниципального округа Чувашской Республики, автономное учреждение Чувашской Республики «Центр энергосбережения и повышения энергетической </w:t>
            </w:r>
            <w:r w:rsidRPr="00592BA7">
              <w:rPr>
                <w:rFonts w:ascii="Times New Roman" w:hAnsi="Times New Roman" w:cs="Times New Roman"/>
                <w:sz w:val="20"/>
                <w:szCs w:val="20"/>
                <w:lang w:eastAsia="ru-RU"/>
              </w:rPr>
              <w:lastRenderedPageBreak/>
              <w:t>эффективности» Министерства промышленности и энергетики Чувашской Республики</w:t>
            </w:r>
          </w:p>
        </w:tc>
        <w:tc>
          <w:tcPr>
            <w:tcW w:w="353" w:type="pct"/>
            <w:gridSpan w:val="2"/>
            <w:tcBorders>
              <w:top w:val="nil"/>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х</w:t>
            </w:r>
          </w:p>
        </w:tc>
        <w:tc>
          <w:tcPr>
            <w:tcW w:w="265" w:type="pct"/>
            <w:gridSpan w:val="2"/>
            <w:tcBorders>
              <w:top w:val="nil"/>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72" w:type="pct"/>
            <w:tcBorders>
              <w:top w:val="nil"/>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94" w:type="pct"/>
            <w:tcBorders>
              <w:top w:val="nil"/>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всего</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136,1</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209,5</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187,0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989,3</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1965,9</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федеральный бюджет</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республиканский бюджет Чувашской Республики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бюджет Шумерлинского муниципального округа</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136,0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255,0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внебюджетные источники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136,1</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209,5</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177,0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853,3</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1710,9</w:t>
            </w:r>
          </w:p>
        </w:tc>
      </w:tr>
      <w:tr w:rsidR="00171D1D" w:rsidRPr="00592BA7" w:rsidTr="00592BA7">
        <w:trPr>
          <w:trHeight w:val="255"/>
        </w:trPr>
        <w:tc>
          <w:tcPr>
            <w:tcW w:w="378"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Целевые показатели (индикаторы) подпрограммы, увязанные с основным мероприятием 1</w:t>
            </w:r>
          </w:p>
        </w:tc>
        <w:tc>
          <w:tcPr>
            <w:tcW w:w="2966" w:type="pct"/>
            <w:gridSpan w:val="9"/>
            <w:tcBorders>
              <w:top w:val="single" w:sz="4" w:space="0" w:color="auto"/>
              <w:left w:val="nil"/>
              <w:bottom w:val="single" w:sz="4" w:space="0" w:color="auto"/>
              <w:right w:val="single" w:sz="4" w:space="0" w:color="000000"/>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Доля потребления муниципальными учреждениями тепловой энергии приобретаемой по приборам учета, в общем объеме потребления тепловой энергии муниципальными учреждениями на территории Шумерлинского муниципального округа Чувашской Республики, %</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2966" w:type="pct"/>
            <w:gridSpan w:val="9"/>
            <w:tcBorders>
              <w:top w:val="single" w:sz="4" w:space="0" w:color="auto"/>
              <w:left w:val="nil"/>
              <w:bottom w:val="single" w:sz="4" w:space="0" w:color="auto"/>
              <w:right w:val="single" w:sz="4" w:space="0" w:color="000000"/>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Доля потребления муниципальными учреждениями электрической энергии приобретаемой по приборам учета, в общем объеме потребления электрической энергии муниципальными учреждениями на территории Шумерлинского муниципального округа Чувашской Республики, %</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2966" w:type="pct"/>
            <w:gridSpan w:val="9"/>
            <w:tcBorders>
              <w:top w:val="single" w:sz="4" w:space="0" w:color="auto"/>
              <w:left w:val="nil"/>
              <w:bottom w:val="single" w:sz="4" w:space="0" w:color="auto"/>
              <w:right w:val="single" w:sz="4" w:space="0" w:color="000000"/>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Доля потребления муниципальными учреждениями холодной воды приобретаемой по приборам учета, в общем объеме потребления холодной воды муниципальными учреждениями на территории Шумерлинского муниципального округа Чувашской Республики, %</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52,8</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81,1</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2966" w:type="pct"/>
            <w:gridSpan w:val="9"/>
            <w:tcBorders>
              <w:top w:val="single" w:sz="4" w:space="0" w:color="auto"/>
              <w:left w:val="nil"/>
              <w:bottom w:val="single" w:sz="4" w:space="0" w:color="auto"/>
              <w:right w:val="single" w:sz="4" w:space="0" w:color="000000"/>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Доля потребления муниципальными учреждениями природного газа приобретаемого по приборам учета, в общем объеме потребления природного газа муниципальными учреждениями на территории Шумерлинского муниципального округа Чувашской Республики, %</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2966" w:type="pct"/>
            <w:gridSpan w:val="9"/>
            <w:tcBorders>
              <w:top w:val="single" w:sz="4" w:space="0" w:color="auto"/>
              <w:left w:val="nil"/>
              <w:bottom w:val="single" w:sz="4" w:space="0" w:color="auto"/>
              <w:right w:val="single" w:sz="4" w:space="0" w:color="000000"/>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Удельный расход тепловой энергии зданиями и помещениями учебно-воспитательного назначения муниципальных организаций, находящихся в ведении органов местного самоуправления Шумерлинского муниципального округа Чувашской Республики, Гкал/м2</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0,202</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0,201</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0,2</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0,197</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0,186</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0,163</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2966" w:type="pct"/>
            <w:gridSpan w:val="9"/>
            <w:tcBorders>
              <w:top w:val="single" w:sz="4" w:space="0" w:color="auto"/>
              <w:left w:val="nil"/>
              <w:bottom w:val="single" w:sz="4" w:space="0" w:color="auto"/>
              <w:right w:val="single" w:sz="4" w:space="0" w:color="000000"/>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Удельный расход электрической энергии зданиями и помещениями учебно-воспитательного назначения муниципальных организаций, находящихся в ведении органов местного самоуправления Шумерлинского муниципального округа Чувашской Республики, кВтч/м2</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21,85</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21,73</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21,642</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21,459</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20,582</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18,826</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2966" w:type="pct"/>
            <w:gridSpan w:val="9"/>
            <w:tcBorders>
              <w:top w:val="single" w:sz="4" w:space="0" w:color="auto"/>
              <w:left w:val="nil"/>
              <w:bottom w:val="single" w:sz="4" w:space="0" w:color="auto"/>
              <w:right w:val="single" w:sz="4" w:space="0" w:color="000000"/>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Удельный расход холодной воды зданиями и помещениями учебно-воспитательного назначения муниципальных организаций, находящихся в ведении органов местного самоуправления Шумерлинского муниципального округа Чувашской Республики, м3/чел.</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2,045</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2,045</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2,045</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2,045</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2,045</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2,045</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2966" w:type="pct"/>
            <w:gridSpan w:val="9"/>
            <w:tcBorders>
              <w:top w:val="single" w:sz="4" w:space="0" w:color="auto"/>
              <w:left w:val="nil"/>
              <w:bottom w:val="single" w:sz="4" w:space="0" w:color="auto"/>
              <w:right w:val="single" w:sz="4" w:space="0" w:color="000000"/>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Удельный расход природного газа зданиями и помещениями учебно-воспитательного назначения муниципальных организаций, находящихся в ведении органов местного самоуправления Шумерлинского муниципального округа Чувашской Республики, м3/чел.</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694,684</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692,236</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690,4</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686,851</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669,47</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634,733</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2966" w:type="pct"/>
            <w:gridSpan w:val="9"/>
            <w:tcBorders>
              <w:top w:val="single" w:sz="4" w:space="0" w:color="auto"/>
              <w:left w:val="nil"/>
              <w:bottom w:val="single" w:sz="4" w:space="0" w:color="auto"/>
              <w:right w:val="single" w:sz="4" w:space="0" w:color="000000"/>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Удельный расход электрической энергии зданиями и помещениями физкультурного, спортивного и физкультурно-досугового назначения муниципальных организаций, находящихся в ведении органов местного самоуправления Шумерлинского муниципального округа Чувашской Республики, кВтч/м2</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18,534</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18,534</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18,534</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18,534</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18,534</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18,534</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2966" w:type="pct"/>
            <w:gridSpan w:val="9"/>
            <w:tcBorders>
              <w:top w:val="single" w:sz="4" w:space="0" w:color="auto"/>
              <w:left w:val="nil"/>
              <w:bottom w:val="single" w:sz="4" w:space="0" w:color="auto"/>
              <w:right w:val="single" w:sz="4" w:space="0" w:color="000000"/>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Удельный расход природного газа зданиями и помещениями физкультурного, спортивного и физкультурно-досугового назначения муниципальных организаций, находящихся в ведении органов местного самоуправления Шумерлинского муниципального округа Чувашской Республики, м3/чел.</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582,286</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579,905</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577,524</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572,762</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551,333</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512,286</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2966" w:type="pct"/>
            <w:gridSpan w:val="9"/>
            <w:tcBorders>
              <w:top w:val="single" w:sz="4" w:space="0" w:color="auto"/>
              <w:left w:val="nil"/>
              <w:bottom w:val="single" w:sz="4" w:space="0" w:color="auto"/>
              <w:right w:val="single" w:sz="4" w:space="0" w:color="000000"/>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Удельный расход электрической энергии на снабжение органов местного самоуправления Шумерлинского муниципального округа Чувашской Республики, кВтч/м2</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69,717</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68,985</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68,452</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67,387</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62,127</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51,485</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2966" w:type="pct"/>
            <w:gridSpan w:val="9"/>
            <w:tcBorders>
              <w:top w:val="single" w:sz="4" w:space="0" w:color="auto"/>
              <w:left w:val="nil"/>
              <w:bottom w:val="single" w:sz="4" w:space="0" w:color="auto"/>
              <w:right w:val="single" w:sz="4" w:space="0" w:color="000000"/>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Удельный расход холодной воды на снабжение органов местного самоуправления Шумерлинского муниципального округа Чувашской Республики, м3/чел.</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6,521</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6,489</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6,466</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6,418</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6,188</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5,728</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2966" w:type="pct"/>
            <w:gridSpan w:val="9"/>
            <w:tcBorders>
              <w:top w:val="single" w:sz="4" w:space="0" w:color="auto"/>
              <w:left w:val="nil"/>
              <w:bottom w:val="single" w:sz="4" w:space="0" w:color="auto"/>
              <w:right w:val="single" w:sz="4" w:space="0" w:color="000000"/>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Удельный расход тепловой энергии на снабжение органов местного самоуправления и муниципальных учреждений Шумерлинского муниципального округа Чувашской Республики, Гкал/м2</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0,202</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0,201</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0,2</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0,197</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0,186</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0,163</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2966" w:type="pct"/>
            <w:gridSpan w:val="9"/>
            <w:tcBorders>
              <w:top w:val="single" w:sz="4" w:space="0" w:color="auto"/>
              <w:left w:val="nil"/>
              <w:bottom w:val="single" w:sz="4" w:space="0" w:color="auto"/>
              <w:right w:val="single" w:sz="4" w:space="0" w:color="000000"/>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Удельный расход электрической энергии на снабжение органов местного самоуправления и муниципальных учреждений Шумерлинского муниципального округа Чувашской Республики, кВтч/м2</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25,593</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25,429</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25,304</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25,058</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23,87</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21,485</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2966" w:type="pct"/>
            <w:gridSpan w:val="9"/>
            <w:tcBorders>
              <w:top w:val="single" w:sz="4" w:space="0" w:color="auto"/>
              <w:left w:val="nil"/>
              <w:bottom w:val="single" w:sz="4" w:space="0" w:color="auto"/>
              <w:right w:val="single" w:sz="4" w:space="0" w:color="000000"/>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Удельный расход холодной воды на снабжение органов местного самоуправления и муниципальных учреждений Шумерлинского муниципального округа Чувашской Республики, м3/чел.</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3,079</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3,072</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3,066</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3,055</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3,002</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2,896</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2966" w:type="pct"/>
            <w:gridSpan w:val="9"/>
            <w:tcBorders>
              <w:top w:val="single" w:sz="4" w:space="0" w:color="auto"/>
              <w:left w:val="nil"/>
              <w:bottom w:val="single" w:sz="4" w:space="0" w:color="auto"/>
              <w:right w:val="single" w:sz="4" w:space="0" w:color="000000"/>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Удельный расход природного газа на снабжение органов местного самоуправления и муниципальных учреждений Шумерлинского муниципального округа Чувашской Республики, м3/чел.</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689,189</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686,744</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684,881</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681,272</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663,694</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628,746</w:t>
            </w:r>
          </w:p>
        </w:tc>
      </w:tr>
      <w:tr w:rsidR="00171D1D" w:rsidRPr="00592BA7" w:rsidTr="00592BA7">
        <w:trPr>
          <w:trHeight w:val="255"/>
        </w:trPr>
        <w:tc>
          <w:tcPr>
            <w:tcW w:w="378"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Мероприятие 1.1</w:t>
            </w:r>
          </w:p>
        </w:tc>
        <w:tc>
          <w:tcPr>
            <w:tcW w:w="554"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Обучение специалистов в области энергосбережения и энергетической эффективности</w:t>
            </w:r>
          </w:p>
        </w:tc>
        <w:tc>
          <w:tcPr>
            <w:tcW w:w="345"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w:t>
            </w:r>
          </w:p>
        </w:tc>
        <w:tc>
          <w:tcPr>
            <w:tcW w:w="883"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ответственный исполнитель - отдел строительства, дорожного хозяйства и жилищно-коммунального хозяйства Управления по благоустройству  и развитию администрации Шумерлинского муниципального округа Чувашской Республики, участники - территориальные отделы Шумерлинского муниципального округа </w:t>
            </w:r>
            <w:r w:rsidRPr="00592BA7">
              <w:rPr>
                <w:rFonts w:ascii="Times New Roman" w:hAnsi="Times New Roman" w:cs="Times New Roman"/>
                <w:sz w:val="20"/>
                <w:szCs w:val="20"/>
                <w:lang w:eastAsia="ru-RU"/>
              </w:rPr>
              <w:lastRenderedPageBreak/>
              <w:t>Чувашской Республики, муниципальные учреждения Шумерлинского муниципального округа Чувашской Республики</w:t>
            </w:r>
          </w:p>
        </w:tc>
        <w:tc>
          <w:tcPr>
            <w:tcW w:w="353" w:type="pct"/>
            <w:gridSpan w:val="2"/>
            <w:tcBorders>
              <w:top w:val="nil"/>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х</w:t>
            </w:r>
          </w:p>
        </w:tc>
        <w:tc>
          <w:tcPr>
            <w:tcW w:w="265" w:type="pct"/>
            <w:gridSpan w:val="2"/>
            <w:tcBorders>
              <w:top w:val="nil"/>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72" w:type="pct"/>
            <w:tcBorders>
              <w:top w:val="nil"/>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94" w:type="pct"/>
            <w:tcBorders>
              <w:top w:val="nil"/>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всего</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12,0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12,0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6,0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12,0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6,0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федеральный бюджет</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республиканский бюджет Чувашской Республики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бюджет Шумерлинского </w:t>
            </w:r>
            <w:r w:rsidRPr="00592BA7">
              <w:rPr>
                <w:rFonts w:ascii="Times New Roman" w:hAnsi="Times New Roman" w:cs="Times New Roman"/>
                <w:sz w:val="20"/>
                <w:szCs w:val="20"/>
                <w:lang w:eastAsia="ru-RU"/>
              </w:rPr>
              <w:lastRenderedPageBreak/>
              <w:t>муниципального округа</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6,0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12,0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6,0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внебюджетные источники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12,0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12,0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Мероприятие 1.2</w:t>
            </w:r>
          </w:p>
        </w:tc>
        <w:tc>
          <w:tcPr>
            <w:tcW w:w="554"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Оснащение приборами учета бюджетных учреждений</w:t>
            </w:r>
          </w:p>
        </w:tc>
        <w:tc>
          <w:tcPr>
            <w:tcW w:w="345"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w:t>
            </w:r>
          </w:p>
        </w:tc>
        <w:tc>
          <w:tcPr>
            <w:tcW w:w="883"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участник - муниципальные учреждения Шумерлинского муниципального округа Чувашской Республики</w:t>
            </w: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всего</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федеральный бюджет</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республиканский бюджет Чувашской Республики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бюджет Шумерлинского муниципального округа</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внебюджетные </w:t>
            </w:r>
            <w:r w:rsidRPr="00592BA7">
              <w:rPr>
                <w:rFonts w:ascii="Times New Roman" w:hAnsi="Times New Roman" w:cs="Times New Roman"/>
                <w:sz w:val="20"/>
                <w:szCs w:val="20"/>
                <w:lang w:eastAsia="ru-RU"/>
              </w:rPr>
              <w:lastRenderedPageBreak/>
              <w:t>источники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0,0 </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0,0 </w:t>
            </w:r>
          </w:p>
        </w:tc>
      </w:tr>
      <w:tr w:rsidR="00171D1D" w:rsidRPr="00592BA7" w:rsidTr="00592BA7">
        <w:trPr>
          <w:trHeight w:val="255"/>
        </w:trPr>
        <w:tc>
          <w:tcPr>
            <w:tcW w:w="378"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Мероприятие 1.3</w:t>
            </w:r>
          </w:p>
        </w:tc>
        <w:tc>
          <w:tcPr>
            <w:tcW w:w="554"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Замена устаревших систем освещения на светодиодные</w:t>
            </w:r>
          </w:p>
        </w:tc>
        <w:tc>
          <w:tcPr>
            <w:tcW w:w="345"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w:t>
            </w:r>
          </w:p>
        </w:tc>
        <w:tc>
          <w:tcPr>
            <w:tcW w:w="883"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участник - муниципальные учреждения Шумерлинского муниципального округа Чувашской Республики</w:t>
            </w: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всего</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22,1</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16,9</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33,1</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160,4</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321,9</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федеральный бюджет</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республиканский бюджет Чувашской Республики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бюджет Шумерлинского муниципального округа</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16,0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32,0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внебюджетные источники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22,1</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16,9</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30,1</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144,4</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289,9</w:t>
            </w:r>
          </w:p>
        </w:tc>
      </w:tr>
      <w:tr w:rsidR="00171D1D" w:rsidRPr="00592BA7" w:rsidTr="00592BA7">
        <w:trPr>
          <w:trHeight w:val="255"/>
        </w:trPr>
        <w:tc>
          <w:tcPr>
            <w:tcW w:w="378"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Мероприят</w:t>
            </w:r>
            <w:r w:rsidRPr="00592BA7">
              <w:rPr>
                <w:rFonts w:ascii="Times New Roman" w:hAnsi="Times New Roman" w:cs="Times New Roman"/>
                <w:sz w:val="20"/>
                <w:szCs w:val="20"/>
                <w:lang w:eastAsia="ru-RU"/>
              </w:rPr>
              <w:lastRenderedPageBreak/>
              <w:t>ие 1.4</w:t>
            </w:r>
          </w:p>
        </w:tc>
        <w:tc>
          <w:tcPr>
            <w:tcW w:w="554"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 xml:space="preserve">Установка </w:t>
            </w:r>
            <w:r w:rsidRPr="00592BA7">
              <w:rPr>
                <w:rFonts w:ascii="Times New Roman" w:hAnsi="Times New Roman" w:cs="Times New Roman"/>
                <w:sz w:val="20"/>
                <w:szCs w:val="20"/>
                <w:lang w:eastAsia="ru-RU"/>
              </w:rPr>
              <w:lastRenderedPageBreak/>
              <w:t>оборудования для автоматического освещения</w:t>
            </w:r>
          </w:p>
        </w:tc>
        <w:tc>
          <w:tcPr>
            <w:tcW w:w="345"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 </w:t>
            </w:r>
          </w:p>
        </w:tc>
        <w:tc>
          <w:tcPr>
            <w:tcW w:w="883"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участник - муниципальные </w:t>
            </w:r>
            <w:r w:rsidRPr="00592BA7">
              <w:rPr>
                <w:rFonts w:ascii="Times New Roman" w:hAnsi="Times New Roman" w:cs="Times New Roman"/>
                <w:sz w:val="20"/>
                <w:szCs w:val="20"/>
                <w:lang w:eastAsia="ru-RU"/>
              </w:rPr>
              <w:lastRenderedPageBreak/>
              <w:t>учреждения Шумерлинского муниципального округа Чувашской Республики</w:t>
            </w: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х</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всего</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3,8</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2,9</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5,8</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27,9</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56,0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федеральный бюджет</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республиканский бюджет Чувашской Республики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бюджет Шумерлинского муниципального округа</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6,0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внебюджетные источники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3,8</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2,9</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4,8</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24,9</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50,0</w:t>
            </w:r>
          </w:p>
        </w:tc>
      </w:tr>
      <w:tr w:rsidR="00171D1D" w:rsidRPr="00592BA7" w:rsidTr="00592BA7">
        <w:trPr>
          <w:trHeight w:val="255"/>
        </w:trPr>
        <w:tc>
          <w:tcPr>
            <w:tcW w:w="378"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Мероприятие 1.5</w:t>
            </w:r>
          </w:p>
        </w:tc>
        <w:tc>
          <w:tcPr>
            <w:tcW w:w="554"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Автоматизация системы теплоснабжения и горячего водоснабжения с регулированием </w:t>
            </w:r>
            <w:r w:rsidRPr="00592BA7">
              <w:rPr>
                <w:rFonts w:ascii="Times New Roman" w:hAnsi="Times New Roman" w:cs="Times New Roman"/>
                <w:sz w:val="20"/>
                <w:szCs w:val="20"/>
                <w:lang w:eastAsia="ru-RU"/>
              </w:rPr>
              <w:lastRenderedPageBreak/>
              <w:t>подачи теплоты</w:t>
            </w:r>
          </w:p>
        </w:tc>
        <w:tc>
          <w:tcPr>
            <w:tcW w:w="345"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 </w:t>
            </w:r>
          </w:p>
        </w:tc>
        <w:tc>
          <w:tcPr>
            <w:tcW w:w="883"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участник - муниципальные учреждения Шумерлинского муниципального округа Чувашской Республики</w:t>
            </w: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всего</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7,9</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5,9</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11,8</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56,8</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113,9</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федеральный бюджет</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республиканский </w:t>
            </w:r>
            <w:r w:rsidRPr="00592BA7">
              <w:rPr>
                <w:rFonts w:ascii="Times New Roman" w:hAnsi="Times New Roman" w:cs="Times New Roman"/>
                <w:sz w:val="20"/>
                <w:szCs w:val="20"/>
                <w:lang w:eastAsia="ru-RU"/>
              </w:rPr>
              <w:lastRenderedPageBreak/>
              <w:t>бюджет Чувашской Республики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бюджет Шумерлинского муниципального округа</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внебюджетные источники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7,9</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5,9</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11,8</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56,8</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113,9</w:t>
            </w:r>
          </w:p>
        </w:tc>
      </w:tr>
      <w:tr w:rsidR="00171D1D" w:rsidRPr="00592BA7" w:rsidTr="00592BA7">
        <w:trPr>
          <w:trHeight w:val="255"/>
        </w:trPr>
        <w:tc>
          <w:tcPr>
            <w:tcW w:w="378"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Мероприятие 1.6</w:t>
            </w:r>
          </w:p>
        </w:tc>
        <w:tc>
          <w:tcPr>
            <w:tcW w:w="554"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Проведение гидравлической регулировки, автоматической/ручной балансировки распределительных систем отопления и </w:t>
            </w:r>
            <w:r w:rsidRPr="00592BA7">
              <w:rPr>
                <w:rFonts w:ascii="Times New Roman" w:hAnsi="Times New Roman" w:cs="Times New Roman"/>
                <w:sz w:val="20"/>
                <w:szCs w:val="20"/>
                <w:lang w:eastAsia="ru-RU"/>
              </w:rPr>
              <w:lastRenderedPageBreak/>
              <w:t>стояков</w:t>
            </w:r>
          </w:p>
        </w:tc>
        <w:tc>
          <w:tcPr>
            <w:tcW w:w="345"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 </w:t>
            </w:r>
          </w:p>
        </w:tc>
        <w:tc>
          <w:tcPr>
            <w:tcW w:w="883"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участник - муниципальные учреждения Шумерлинского муниципального округа Чувашской Республики</w:t>
            </w: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всего</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7,0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5,1</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10,3</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49,7</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99,7</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федеральный бюджет</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республиканский бюджет Чувашской Республики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бюджет Шумерлинского муниципального округа</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внебюджетные источники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7,0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5,1</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10,3</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49,7</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99,7</w:t>
            </w:r>
          </w:p>
        </w:tc>
      </w:tr>
      <w:tr w:rsidR="00171D1D" w:rsidRPr="00592BA7" w:rsidTr="00592BA7">
        <w:trPr>
          <w:trHeight w:val="255"/>
        </w:trPr>
        <w:tc>
          <w:tcPr>
            <w:tcW w:w="378"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Мероприятие 1.7</w:t>
            </w:r>
          </w:p>
        </w:tc>
        <w:tc>
          <w:tcPr>
            <w:tcW w:w="554"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Снижение тепловых потерь через оконные проемы путем их модернизации</w:t>
            </w:r>
          </w:p>
        </w:tc>
        <w:tc>
          <w:tcPr>
            <w:tcW w:w="345"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w:t>
            </w:r>
          </w:p>
        </w:tc>
        <w:tc>
          <w:tcPr>
            <w:tcW w:w="883"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участник - муниципальные учреждения Шумерлинского муниципального округа Чувашской Республики</w:t>
            </w: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всего</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33,5</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24,9</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49,7</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239,7</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480,6</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федеральный бюджет</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республиканский бюджет Чувашской Республики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бюджет Шумерлинского муниципаль</w:t>
            </w:r>
            <w:r w:rsidRPr="00592BA7">
              <w:rPr>
                <w:rFonts w:ascii="Times New Roman" w:hAnsi="Times New Roman" w:cs="Times New Roman"/>
                <w:sz w:val="20"/>
                <w:szCs w:val="20"/>
                <w:lang w:eastAsia="ru-RU"/>
              </w:rPr>
              <w:lastRenderedPageBreak/>
              <w:t>ного округа</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внебюджетные источники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33,5</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24,9</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49,7</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239,7</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480,6</w:t>
            </w:r>
          </w:p>
        </w:tc>
      </w:tr>
      <w:tr w:rsidR="00171D1D" w:rsidRPr="00592BA7" w:rsidTr="00592BA7">
        <w:trPr>
          <w:trHeight w:val="255"/>
        </w:trPr>
        <w:tc>
          <w:tcPr>
            <w:tcW w:w="378"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Мероприятие 1.8</w:t>
            </w:r>
          </w:p>
        </w:tc>
        <w:tc>
          <w:tcPr>
            <w:tcW w:w="554"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Улучшение тепловой изоляции стен, полов и чердаков</w:t>
            </w:r>
          </w:p>
        </w:tc>
        <w:tc>
          <w:tcPr>
            <w:tcW w:w="345"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w:t>
            </w:r>
          </w:p>
        </w:tc>
        <w:tc>
          <w:tcPr>
            <w:tcW w:w="883"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участник - муниципальные учреждения Шумерлинского муниципального округа Чувашской Республики</w:t>
            </w: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всего</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46,8</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34,8</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69,6</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335,7</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672,9</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федеральный бюджет</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республиканский бюджет Чувашской Республики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бюджет Шумерлинского муниципального округа</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внебюджетные </w:t>
            </w:r>
            <w:r w:rsidRPr="00592BA7">
              <w:rPr>
                <w:rFonts w:ascii="Times New Roman" w:hAnsi="Times New Roman" w:cs="Times New Roman"/>
                <w:sz w:val="20"/>
                <w:szCs w:val="20"/>
                <w:lang w:eastAsia="ru-RU"/>
              </w:rPr>
              <w:lastRenderedPageBreak/>
              <w:t>источники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46,8</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34,8</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69,6</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335,7</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672,9</w:t>
            </w:r>
          </w:p>
        </w:tc>
      </w:tr>
      <w:tr w:rsidR="00171D1D" w:rsidRPr="00592BA7" w:rsidTr="00592BA7">
        <w:trPr>
          <w:trHeight w:val="255"/>
        </w:trPr>
        <w:tc>
          <w:tcPr>
            <w:tcW w:w="378"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Мероприятие 1.9</w:t>
            </w:r>
          </w:p>
        </w:tc>
        <w:tc>
          <w:tcPr>
            <w:tcW w:w="554"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Применение экономичной водоразборной арматуры</w:t>
            </w:r>
          </w:p>
        </w:tc>
        <w:tc>
          <w:tcPr>
            <w:tcW w:w="345"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w:t>
            </w:r>
          </w:p>
        </w:tc>
        <w:tc>
          <w:tcPr>
            <w:tcW w:w="883"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участник - муниципальные учреждения Шумерлинского муниципального округа Чувашской Республики</w:t>
            </w: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всего</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0,7</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2,1</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4,9</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федеральный бюджет</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республиканский бюджет Чувашской Республики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бюджет Шумерлинского муниципального округа</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0,0 </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0,0 </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внебюджетные источники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0,0 </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0,7</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2,1</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3,9</w:t>
            </w:r>
          </w:p>
        </w:tc>
      </w:tr>
      <w:tr w:rsidR="00171D1D" w:rsidRPr="00592BA7" w:rsidTr="00592BA7">
        <w:trPr>
          <w:trHeight w:val="255"/>
        </w:trPr>
        <w:tc>
          <w:tcPr>
            <w:tcW w:w="378"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Мероприят</w:t>
            </w:r>
            <w:r w:rsidRPr="00592BA7">
              <w:rPr>
                <w:rFonts w:ascii="Times New Roman" w:hAnsi="Times New Roman" w:cs="Times New Roman"/>
                <w:sz w:val="20"/>
                <w:szCs w:val="20"/>
                <w:lang w:eastAsia="ru-RU"/>
              </w:rPr>
              <w:lastRenderedPageBreak/>
              <w:t>ие 1.10</w:t>
            </w:r>
          </w:p>
        </w:tc>
        <w:tc>
          <w:tcPr>
            <w:tcW w:w="554"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 xml:space="preserve">Разработка и </w:t>
            </w:r>
            <w:r w:rsidRPr="00592BA7">
              <w:rPr>
                <w:rFonts w:ascii="Times New Roman" w:hAnsi="Times New Roman" w:cs="Times New Roman"/>
                <w:sz w:val="20"/>
                <w:szCs w:val="20"/>
                <w:lang w:eastAsia="ru-RU"/>
              </w:rPr>
              <w:lastRenderedPageBreak/>
              <w:t>корректировка программ энергосбережения и повышения энергетической эффективности организаций с участием государства и муниципального образования</w:t>
            </w:r>
          </w:p>
        </w:tc>
        <w:tc>
          <w:tcPr>
            <w:tcW w:w="345"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 </w:t>
            </w:r>
          </w:p>
        </w:tc>
        <w:tc>
          <w:tcPr>
            <w:tcW w:w="883"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ответственный исполнитель - </w:t>
            </w:r>
            <w:r w:rsidRPr="00592BA7">
              <w:rPr>
                <w:rFonts w:ascii="Times New Roman" w:hAnsi="Times New Roman" w:cs="Times New Roman"/>
                <w:sz w:val="20"/>
                <w:szCs w:val="20"/>
                <w:lang w:eastAsia="ru-RU"/>
              </w:rPr>
              <w:lastRenderedPageBreak/>
              <w:t>отдел строительства, дорожного хозяйства и жилищно-коммунального хозяйства Управления по благоустройству  и развитию администрации Шумерлинского муниципального округа Чувашской Республики, участники - муниципальные учреждения Шумерлинского муниципального округа Чувашской Республики, автономное учреждение Чувашской Республики «Центр энергосбережения и повышения энергетической эффективности» Министерства промышленности и энергетики Чувашской Республики</w:t>
            </w: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х</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всего</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105,0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105,0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210,0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федеральный бюджет</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республиканский бюджет Чувашской Республики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бюджет Шумерлинского муниципального округа</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105,0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210,0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внебюджетные источники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105,0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Основное </w:t>
            </w:r>
            <w:r w:rsidRPr="00592BA7">
              <w:rPr>
                <w:rFonts w:ascii="Times New Roman" w:hAnsi="Times New Roman" w:cs="Times New Roman"/>
                <w:sz w:val="20"/>
                <w:szCs w:val="20"/>
                <w:lang w:eastAsia="ru-RU"/>
              </w:rPr>
              <w:lastRenderedPageBreak/>
              <w:t>мероприятие 2</w:t>
            </w:r>
          </w:p>
        </w:tc>
        <w:tc>
          <w:tcPr>
            <w:tcW w:w="554"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Энергосбережени</w:t>
            </w:r>
            <w:r w:rsidRPr="00592BA7">
              <w:rPr>
                <w:rFonts w:ascii="Times New Roman" w:hAnsi="Times New Roman" w:cs="Times New Roman"/>
                <w:sz w:val="20"/>
                <w:szCs w:val="20"/>
                <w:lang w:eastAsia="ru-RU"/>
              </w:rPr>
              <w:lastRenderedPageBreak/>
              <w:t>е и повышение энергоэффективности в жилищном фонде</w:t>
            </w:r>
          </w:p>
        </w:tc>
        <w:tc>
          <w:tcPr>
            <w:tcW w:w="345"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 xml:space="preserve">снижение </w:t>
            </w:r>
            <w:r w:rsidRPr="00592BA7">
              <w:rPr>
                <w:rFonts w:ascii="Times New Roman" w:hAnsi="Times New Roman" w:cs="Times New Roman"/>
                <w:sz w:val="20"/>
                <w:szCs w:val="20"/>
                <w:lang w:eastAsia="ru-RU"/>
              </w:rPr>
              <w:lastRenderedPageBreak/>
              <w:t xml:space="preserve">потребления топливно-энергетических ресурсов в жилищном фонде в сопоставимых условиях с увеличением оснащенности приборами учета и увеличением доли энергоэффективного капитального </w:t>
            </w:r>
            <w:r w:rsidRPr="00592BA7">
              <w:rPr>
                <w:rFonts w:ascii="Times New Roman" w:hAnsi="Times New Roman" w:cs="Times New Roman"/>
                <w:sz w:val="20"/>
                <w:szCs w:val="20"/>
                <w:lang w:eastAsia="ru-RU"/>
              </w:rPr>
              <w:lastRenderedPageBreak/>
              <w:t>ремонта</w:t>
            </w:r>
          </w:p>
        </w:tc>
        <w:tc>
          <w:tcPr>
            <w:tcW w:w="883"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 xml:space="preserve">ответственный исполнитель - </w:t>
            </w:r>
            <w:r w:rsidRPr="00592BA7">
              <w:rPr>
                <w:rFonts w:ascii="Times New Roman" w:hAnsi="Times New Roman" w:cs="Times New Roman"/>
                <w:sz w:val="20"/>
                <w:szCs w:val="20"/>
                <w:lang w:eastAsia="ru-RU"/>
              </w:rPr>
              <w:lastRenderedPageBreak/>
              <w:t>отдел строительства, дорожного хозяйства и жилищно-коммунального хозяйства Управления по благоустройству  и развитию администрации Шумерлинского муниципального округа Чувашской Республики, участники - территориальные отделы Шумерлинского муниципального округа Чувашской Республики, управляющие компании, товарищества собственников жилья и недвижимости</w:t>
            </w: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х</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всего</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10,6</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178,3</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256,6</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1011,</w:t>
            </w:r>
            <w:r w:rsidRPr="00592BA7">
              <w:rPr>
                <w:rFonts w:ascii="Times New Roman" w:hAnsi="Times New Roman" w:cs="Times New Roman"/>
                <w:sz w:val="20"/>
                <w:szCs w:val="20"/>
                <w:lang w:eastAsia="ru-RU"/>
              </w:rPr>
              <w:lastRenderedPageBreak/>
              <w:t>9</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1757,</w:t>
            </w:r>
            <w:r w:rsidRPr="00592BA7">
              <w:rPr>
                <w:rFonts w:ascii="Times New Roman" w:hAnsi="Times New Roman" w:cs="Times New Roman"/>
                <w:sz w:val="20"/>
                <w:szCs w:val="20"/>
                <w:lang w:eastAsia="ru-RU"/>
              </w:rPr>
              <w:lastRenderedPageBreak/>
              <w:t>1</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федеральный бюджет</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республиканский бюджет Чувашской Республики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бюджет Шумерлинского муниципального округа</w:t>
            </w:r>
          </w:p>
        </w:tc>
        <w:tc>
          <w:tcPr>
            <w:tcW w:w="208" w:type="pct"/>
            <w:tcBorders>
              <w:top w:val="nil"/>
              <w:left w:val="nil"/>
              <w:bottom w:val="single" w:sz="4" w:space="0" w:color="auto"/>
              <w:right w:val="single" w:sz="4" w:space="0" w:color="auto"/>
            </w:tcBorders>
            <w:shd w:val="clear" w:color="auto" w:fill="auto"/>
            <w:hideMark/>
          </w:tcPr>
          <w:p w:rsidR="00171D1D" w:rsidRPr="00592BA7" w:rsidRDefault="00171D1D" w:rsidP="00592BA7">
            <w:pPr>
              <w:jc w:val="both"/>
              <w:rPr>
                <w:rFonts w:ascii="Times New Roman" w:hAnsi="Times New Roman" w:cs="Times New Roman"/>
                <w:sz w:val="20"/>
                <w:szCs w:val="20"/>
                <w:lang w:eastAsia="ru-RU"/>
              </w:rPr>
            </w:pP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hideMark/>
          </w:tcPr>
          <w:p w:rsidR="00171D1D" w:rsidRPr="00592BA7" w:rsidRDefault="00171D1D" w:rsidP="00592BA7">
            <w:pPr>
              <w:jc w:val="both"/>
              <w:rPr>
                <w:rFonts w:ascii="Times New Roman" w:hAnsi="Times New Roman" w:cs="Times New Roman"/>
                <w:sz w:val="20"/>
                <w:szCs w:val="20"/>
                <w:lang w:eastAsia="ru-RU"/>
              </w:rPr>
            </w:pP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hideMark/>
          </w:tcPr>
          <w:p w:rsidR="00171D1D" w:rsidRPr="00592BA7" w:rsidRDefault="00171D1D" w:rsidP="00592BA7">
            <w:pPr>
              <w:jc w:val="both"/>
              <w:rPr>
                <w:rFonts w:ascii="Times New Roman" w:hAnsi="Times New Roman" w:cs="Times New Roman"/>
                <w:sz w:val="20"/>
                <w:szCs w:val="20"/>
                <w:lang w:eastAsia="ru-RU"/>
              </w:rPr>
            </w:pP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hideMark/>
          </w:tcPr>
          <w:p w:rsidR="00171D1D" w:rsidRPr="00592BA7" w:rsidRDefault="00171D1D" w:rsidP="00592BA7">
            <w:pPr>
              <w:jc w:val="both"/>
              <w:rPr>
                <w:rFonts w:ascii="Times New Roman" w:hAnsi="Times New Roman" w:cs="Times New Roman"/>
                <w:sz w:val="20"/>
                <w:szCs w:val="20"/>
                <w:lang w:eastAsia="ru-RU"/>
              </w:rPr>
            </w:pP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4,0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внебюджетные источники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10,6</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178,3</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256,6</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1009,9</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1753,1</w:t>
            </w:r>
          </w:p>
        </w:tc>
      </w:tr>
      <w:tr w:rsidR="00171D1D" w:rsidRPr="00592BA7" w:rsidTr="00592BA7">
        <w:trPr>
          <w:trHeight w:val="255"/>
        </w:trPr>
        <w:tc>
          <w:tcPr>
            <w:tcW w:w="378"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Целевые показатели (индикаторы) подпрограммы, увязанные с основным мероприятием 2</w:t>
            </w:r>
          </w:p>
        </w:tc>
        <w:tc>
          <w:tcPr>
            <w:tcW w:w="2966" w:type="pct"/>
            <w:gridSpan w:val="9"/>
            <w:tcBorders>
              <w:top w:val="single" w:sz="4" w:space="0" w:color="auto"/>
              <w:left w:val="nil"/>
              <w:bottom w:val="single" w:sz="4" w:space="0" w:color="auto"/>
              <w:right w:val="single" w:sz="4" w:space="0" w:color="000000"/>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Доля многоквартирных домов, оснащенных коллективными (общедомовыми) приборами учета тепловой энергии в общем числе многоквартирных домов, расположенных на территории Шумерлинского муниципального округа Чувашской Республики, %</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66,7</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66,7</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66,7</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66,7</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2966" w:type="pct"/>
            <w:gridSpan w:val="9"/>
            <w:tcBorders>
              <w:top w:val="single" w:sz="4" w:space="0" w:color="auto"/>
              <w:left w:val="nil"/>
              <w:bottom w:val="single" w:sz="4" w:space="0" w:color="auto"/>
              <w:right w:val="single" w:sz="4" w:space="0" w:color="000000"/>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Доля многоквартирных домов, оснащенных коллективными (общедомовыми) приборами учета электрической энергии в общем числе многоквартирных домов, расположенных на территории Шумерлинского муниципального округа Чувашской Республики, %</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2966" w:type="pct"/>
            <w:gridSpan w:val="9"/>
            <w:tcBorders>
              <w:top w:val="single" w:sz="4" w:space="0" w:color="auto"/>
              <w:left w:val="nil"/>
              <w:bottom w:val="single" w:sz="4" w:space="0" w:color="auto"/>
              <w:right w:val="single" w:sz="4" w:space="0" w:color="000000"/>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Доля многоквартирных домов, оснащенных коллективными (общедомовыми) приборами учета холодной воды в общем числе многоквартирных домов, расположенных на территории Шумерлинского муниципального округа Чувашской Республики, %</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2966" w:type="pct"/>
            <w:gridSpan w:val="9"/>
            <w:tcBorders>
              <w:top w:val="single" w:sz="4" w:space="0" w:color="auto"/>
              <w:left w:val="nil"/>
              <w:bottom w:val="single" w:sz="4" w:space="0" w:color="auto"/>
              <w:right w:val="single" w:sz="4" w:space="0" w:color="000000"/>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Доля жилых, нежилых помещений в многоквартирных домах, жилых домах (домовладениях), оснащенных индивидуальными приборами учета тепловой энергии в общем числе жилых, нежилых помещений в многоквартирных домах, жилых домах (домовладениях), расположенных на территории Шумерлинского муниципального округа Чувашской Республики, %</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66,7</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66,7</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66,7</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66,7</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69,8</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73</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2966" w:type="pct"/>
            <w:gridSpan w:val="9"/>
            <w:tcBorders>
              <w:top w:val="single" w:sz="4" w:space="0" w:color="auto"/>
              <w:left w:val="nil"/>
              <w:bottom w:val="single" w:sz="4" w:space="0" w:color="auto"/>
              <w:right w:val="single" w:sz="4" w:space="0" w:color="000000"/>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Доля жилых, нежилых помещений в многоквартирных домах, жилых домах (домовладениях), оснащенных индивидуальными приборами учета электрической энергии в общем числе жилых, нежилых помещений в многоквартирных домах, жилых домах (домовладениях), расположенных на территории Шумерлинского муниципального округа Чувашской Республики, %</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2966" w:type="pct"/>
            <w:gridSpan w:val="9"/>
            <w:tcBorders>
              <w:top w:val="single" w:sz="4" w:space="0" w:color="auto"/>
              <w:left w:val="nil"/>
              <w:bottom w:val="single" w:sz="4" w:space="0" w:color="auto"/>
              <w:right w:val="single" w:sz="4" w:space="0" w:color="000000"/>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Доля жилых, нежилых помещений в многоквартирных домах, жилых домах (домовладениях), оснащенных индивидуальными приборами учета холодной воды в общем числе жилых, нежилых помещений в </w:t>
            </w:r>
            <w:r w:rsidRPr="00592BA7">
              <w:rPr>
                <w:rFonts w:ascii="Times New Roman" w:hAnsi="Times New Roman" w:cs="Times New Roman"/>
                <w:sz w:val="20"/>
                <w:szCs w:val="20"/>
                <w:lang w:eastAsia="ru-RU"/>
              </w:rPr>
              <w:lastRenderedPageBreak/>
              <w:t>многоквартирных домах, жилых домах (домовладениях), расположенных на территории Шумерлинского муниципального округа Чувашской Республики, %</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x</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2966" w:type="pct"/>
            <w:gridSpan w:val="9"/>
            <w:tcBorders>
              <w:top w:val="single" w:sz="4" w:space="0" w:color="auto"/>
              <w:left w:val="nil"/>
              <w:bottom w:val="single" w:sz="4" w:space="0" w:color="auto"/>
              <w:right w:val="single" w:sz="4" w:space="0" w:color="000000"/>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Доля жилых, нежилых помещений в многоквартирных домах, жилых домах (домовладениях), оснащенных индивидуальными приборами учета природного газа используемого на цели отопления в общем числе жилых, нежилых помещений в многоквартирных домах, жилых домах (домовладениях), расположенных на территории Шумерлинского муниципального округа Чувашской Республики, %</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98,9</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99</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99</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99</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99,1</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99,2</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2966" w:type="pct"/>
            <w:gridSpan w:val="9"/>
            <w:tcBorders>
              <w:top w:val="single" w:sz="4" w:space="0" w:color="auto"/>
              <w:left w:val="nil"/>
              <w:bottom w:val="single" w:sz="4" w:space="0" w:color="auto"/>
              <w:right w:val="single" w:sz="4" w:space="0" w:color="000000"/>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Доля многоквартирных домов, расположенных на территории Шумерлинского муниципального округа Чувашской Республики, имеющих класс энергетической эффективности "В" и выше, %</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0,4</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1,4</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6,3</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17,4</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2966" w:type="pct"/>
            <w:gridSpan w:val="9"/>
            <w:tcBorders>
              <w:top w:val="single" w:sz="4" w:space="0" w:color="auto"/>
              <w:left w:val="nil"/>
              <w:bottom w:val="single" w:sz="4" w:space="0" w:color="auto"/>
              <w:right w:val="single" w:sz="4" w:space="0" w:color="000000"/>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Доля энергоэффективных капитальных ремонтов многоквартирных домов в общем объеме проведенных капитальных ремонтов многоквартирных домов на территории Шумерлинского муниципального округа Чувашской Республики, %</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16,7</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25</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33,3</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50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2966" w:type="pct"/>
            <w:gridSpan w:val="9"/>
            <w:tcBorders>
              <w:top w:val="single" w:sz="4" w:space="0" w:color="auto"/>
              <w:left w:val="nil"/>
              <w:bottom w:val="single" w:sz="4" w:space="0" w:color="auto"/>
              <w:right w:val="single" w:sz="4" w:space="0" w:color="000000"/>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Удельный расход тепловой энергии в многоквартирных домах, расположенных на территории Шумерлинского муниципального округа Чувашской Республики, Гкал/м2</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0,199</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0,199</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0,199</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0,199</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0,199</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0,198</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2966" w:type="pct"/>
            <w:gridSpan w:val="9"/>
            <w:tcBorders>
              <w:top w:val="single" w:sz="4" w:space="0" w:color="auto"/>
              <w:left w:val="nil"/>
              <w:bottom w:val="single" w:sz="4" w:space="0" w:color="auto"/>
              <w:right w:val="single" w:sz="4" w:space="0" w:color="000000"/>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Удельный расход электрической энергии в многоквартирных домах, расположенных на территории Шумерлинского муниципального округа Чувашской Республики, кВтч/м2</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35,633</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35,633</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35,631</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35,624</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35,593</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35,522</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2966" w:type="pct"/>
            <w:gridSpan w:val="9"/>
            <w:tcBorders>
              <w:top w:val="single" w:sz="4" w:space="0" w:color="auto"/>
              <w:left w:val="nil"/>
              <w:bottom w:val="single" w:sz="4" w:space="0" w:color="auto"/>
              <w:right w:val="single" w:sz="4" w:space="0" w:color="000000"/>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Удельный расход холодной воды в многоквартирных домах, расположенных на территории Шумерлинского муниципального округа Чувашской Республики, м3/чел.</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10,004</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10,004</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10,004</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10,004</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10,004</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10,004</w:t>
            </w:r>
          </w:p>
        </w:tc>
      </w:tr>
      <w:tr w:rsidR="00171D1D" w:rsidRPr="00592BA7" w:rsidTr="00592BA7">
        <w:trPr>
          <w:trHeight w:val="255"/>
        </w:trPr>
        <w:tc>
          <w:tcPr>
            <w:tcW w:w="378"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Мероприят</w:t>
            </w:r>
            <w:r w:rsidRPr="00592BA7">
              <w:rPr>
                <w:rFonts w:ascii="Times New Roman" w:hAnsi="Times New Roman" w:cs="Times New Roman"/>
                <w:sz w:val="20"/>
                <w:szCs w:val="20"/>
                <w:lang w:eastAsia="ru-RU"/>
              </w:rPr>
              <w:lastRenderedPageBreak/>
              <w:t>ие 2.1</w:t>
            </w:r>
          </w:p>
        </w:tc>
        <w:tc>
          <w:tcPr>
            <w:tcW w:w="554"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 xml:space="preserve">Оснащение </w:t>
            </w:r>
            <w:r w:rsidRPr="00592BA7">
              <w:rPr>
                <w:rFonts w:ascii="Times New Roman" w:hAnsi="Times New Roman" w:cs="Times New Roman"/>
                <w:sz w:val="20"/>
                <w:szCs w:val="20"/>
                <w:lang w:eastAsia="ru-RU"/>
              </w:rPr>
              <w:lastRenderedPageBreak/>
              <w:t>коллективными (общедомовыми) приборами учета многоквартирных домов в том числе интеллектуальных приборов учета, автоматизированных систем и систем диспетчеризации</w:t>
            </w:r>
          </w:p>
        </w:tc>
        <w:tc>
          <w:tcPr>
            <w:tcW w:w="345"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 </w:t>
            </w:r>
          </w:p>
        </w:tc>
        <w:tc>
          <w:tcPr>
            <w:tcW w:w="883"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участники - территориальные </w:t>
            </w:r>
            <w:r w:rsidRPr="00592BA7">
              <w:rPr>
                <w:rFonts w:ascii="Times New Roman" w:hAnsi="Times New Roman" w:cs="Times New Roman"/>
                <w:sz w:val="20"/>
                <w:szCs w:val="20"/>
                <w:lang w:eastAsia="ru-RU"/>
              </w:rPr>
              <w:lastRenderedPageBreak/>
              <w:t>отделы Шумерлинского муниципального округа Чувашской Республики, управляющие компании, товарищества собственников жилья и недвижимости</w:t>
            </w:r>
          </w:p>
        </w:tc>
        <w:tc>
          <w:tcPr>
            <w:tcW w:w="353" w:type="pct"/>
            <w:gridSpan w:val="2"/>
            <w:tcBorders>
              <w:top w:val="nil"/>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х</w:t>
            </w:r>
          </w:p>
        </w:tc>
        <w:tc>
          <w:tcPr>
            <w:tcW w:w="265" w:type="pct"/>
            <w:gridSpan w:val="2"/>
            <w:tcBorders>
              <w:top w:val="nil"/>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72" w:type="pct"/>
            <w:tcBorders>
              <w:top w:val="nil"/>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94" w:type="pct"/>
            <w:tcBorders>
              <w:top w:val="nil"/>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всего</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7,0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7,0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14,0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42,0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федеральный бюджет</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республиканский бюджет Чувашской Республики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бюджет Шумерлинского муниципального округа</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внебюджетные источники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7,0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7,0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14,0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42,0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0,0 </w:t>
            </w:r>
          </w:p>
        </w:tc>
      </w:tr>
      <w:tr w:rsidR="00171D1D" w:rsidRPr="00592BA7" w:rsidTr="00592BA7">
        <w:trPr>
          <w:trHeight w:val="255"/>
        </w:trPr>
        <w:tc>
          <w:tcPr>
            <w:tcW w:w="378"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Мероприятие 2.2</w:t>
            </w:r>
          </w:p>
        </w:tc>
        <w:tc>
          <w:tcPr>
            <w:tcW w:w="554"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Оснащение индивидуальными приборами учета жилых, нежилых помещений в многоквартирных </w:t>
            </w:r>
            <w:r w:rsidRPr="00592BA7">
              <w:rPr>
                <w:rFonts w:ascii="Times New Roman" w:hAnsi="Times New Roman" w:cs="Times New Roman"/>
                <w:sz w:val="20"/>
                <w:szCs w:val="20"/>
                <w:lang w:eastAsia="ru-RU"/>
              </w:rPr>
              <w:lastRenderedPageBreak/>
              <w:t>домах, жилых домах (домовладениях) в том числе интеллектуальных приборов учета, автоматизированных систем и систем диспетчеризации</w:t>
            </w:r>
          </w:p>
        </w:tc>
        <w:tc>
          <w:tcPr>
            <w:tcW w:w="345"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 </w:t>
            </w:r>
          </w:p>
        </w:tc>
        <w:tc>
          <w:tcPr>
            <w:tcW w:w="883"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участники - территориальные отделы Шумерлинского муниципального округа Чувашской Республики, управляющие компании, товарищества собственников </w:t>
            </w:r>
            <w:r w:rsidRPr="00592BA7">
              <w:rPr>
                <w:rFonts w:ascii="Times New Roman" w:hAnsi="Times New Roman" w:cs="Times New Roman"/>
                <w:sz w:val="20"/>
                <w:szCs w:val="20"/>
                <w:lang w:eastAsia="ru-RU"/>
              </w:rPr>
              <w:lastRenderedPageBreak/>
              <w:t>жилья и недвижимости</w:t>
            </w: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х</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всего</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3,6</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5,4</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5,4</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12,7</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12,7</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федеральный бюджет</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республиканский </w:t>
            </w:r>
            <w:r w:rsidRPr="00592BA7">
              <w:rPr>
                <w:rFonts w:ascii="Times New Roman" w:hAnsi="Times New Roman" w:cs="Times New Roman"/>
                <w:sz w:val="20"/>
                <w:szCs w:val="20"/>
                <w:lang w:eastAsia="ru-RU"/>
              </w:rPr>
              <w:lastRenderedPageBreak/>
              <w:t>бюджет Чувашской Республики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бюджет Шумерлинского муниципального округа</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внебюджетные источники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3,6</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5,4</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5,4</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12,7</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12,7</w:t>
            </w:r>
          </w:p>
        </w:tc>
      </w:tr>
      <w:tr w:rsidR="00171D1D" w:rsidRPr="00592BA7" w:rsidTr="00592BA7">
        <w:trPr>
          <w:trHeight w:val="255"/>
        </w:trPr>
        <w:tc>
          <w:tcPr>
            <w:tcW w:w="378"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Мероприятие 2.3</w:t>
            </w:r>
          </w:p>
        </w:tc>
        <w:tc>
          <w:tcPr>
            <w:tcW w:w="554"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Проведение энергетических обследований жилищного фонда</w:t>
            </w:r>
          </w:p>
        </w:tc>
        <w:tc>
          <w:tcPr>
            <w:tcW w:w="345"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w:t>
            </w:r>
          </w:p>
        </w:tc>
        <w:tc>
          <w:tcPr>
            <w:tcW w:w="883"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участники - территориальные отделы Шумерлинского муниципального округа Чувашской Республики, управляющие компании, товарищества собственников жилья и недвижимости</w:t>
            </w: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всего</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35,0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70,0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федеральный бюджет</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республиканский бюджет Чувашской Республики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бюджет Шумерлинского муниципального округа</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внебюджетные источники</w:t>
            </w:r>
          </w:p>
        </w:tc>
        <w:tc>
          <w:tcPr>
            <w:tcW w:w="208" w:type="pct"/>
            <w:tcBorders>
              <w:top w:val="nil"/>
              <w:left w:val="nil"/>
              <w:bottom w:val="single" w:sz="4" w:space="0" w:color="auto"/>
              <w:right w:val="single" w:sz="4" w:space="0" w:color="auto"/>
            </w:tcBorders>
            <w:shd w:val="clear" w:color="auto" w:fill="auto"/>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35,0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70,0</w:t>
            </w:r>
          </w:p>
        </w:tc>
      </w:tr>
      <w:tr w:rsidR="00171D1D" w:rsidRPr="00592BA7" w:rsidTr="00592BA7">
        <w:trPr>
          <w:trHeight w:val="255"/>
        </w:trPr>
        <w:tc>
          <w:tcPr>
            <w:tcW w:w="378"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Мероприятие 2.4</w:t>
            </w:r>
          </w:p>
        </w:tc>
        <w:tc>
          <w:tcPr>
            <w:tcW w:w="554"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Автоматизация потребления тепловой энергии многоквартирными домами (автоматизация тепловых пунктов, пофасадное регулирование)</w:t>
            </w:r>
          </w:p>
        </w:tc>
        <w:tc>
          <w:tcPr>
            <w:tcW w:w="345"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w:t>
            </w:r>
          </w:p>
        </w:tc>
        <w:tc>
          <w:tcPr>
            <w:tcW w:w="883"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участники - территориальные отделы Шумерлинского муниципального округа Чувашской Республики, управляющие компании, товарищества собственников жилья и недвижимости</w:t>
            </w: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всего</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70,0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70,0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190,0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190,0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федеральный бюджет</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республиканский бюджет Чувашской Республики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бюджет Шумерлинского муниципаль</w:t>
            </w:r>
            <w:r w:rsidRPr="00592BA7">
              <w:rPr>
                <w:rFonts w:ascii="Times New Roman" w:hAnsi="Times New Roman" w:cs="Times New Roman"/>
                <w:sz w:val="20"/>
                <w:szCs w:val="20"/>
                <w:lang w:eastAsia="ru-RU"/>
              </w:rPr>
              <w:lastRenderedPageBreak/>
              <w:t>ного округа</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внебюджетные источники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70,0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70,0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190,0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190,0</w:t>
            </w:r>
          </w:p>
        </w:tc>
      </w:tr>
      <w:tr w:rsidR="00171D1D" w:rsidRPr="00592BA7" w:rsidTr="00592BA7">
        <w:trPr>
          <w:trHeight w:val="255"/>
        </w:trPr>
        <w:tc>
          <w:tcPr>
            <w:tcW w:w="378"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Мероприятие 2.5</w:t>
            </w:r>
          </w:p>
        </w:tc>
        <w:tc>
          <w:tcPr>
            <w:tcW w:w="554"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Размещение на фасадах многоквартирных домов указателей классов их энергетической эффективности</w:t>
            </w:r>
          </w:p>
        </w:tc>
        <w:tc>
          <w:tcPr>
            <w:tcW w:w="345"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w:t>
            </w:r>
          </w:p>
        </w:tc>
        <w:tc>
          <w:tcPr>
            <w:tcW w:w="883"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ответственный исполнитель - отдел строительства, дорожного хозяйства и жилищно-коммунального хозяйства Управления по благоустройству  и развитию администрации Шумерлинского муниципального округа Чувашской Республики, участники - территориальные отделы Шумерлинского муниципального округа Чувашской Республики, управляющие компании, товарищества собственников жилья и недвижимости</w:t>
            </w: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всего</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4,0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федеральный бюджет</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республиканский бюджет Чувашской Республики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бюджет Шумерлинского муниципального округа</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0,0 </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0,0 </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4,0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внебюджетные </w:t>
            </w:r>
            <w:r w:rsidRPr="00592BA7">
              <w:rPr>
                <w:rFonts w:ascii="Times New Roman" w:hAnsi="Times New Roman" w:cs="Times New Roman"/>
                <w:sz w:val="20"/>
                <w:szCs w:val="20"/>
                <w:lang w:eastAsia="ru-RU"/>
              </w:rPr>
              <w:lastRenderedPageBreak/>
              <w:t>источники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Мероприятие 2.6</w:t>
            </w:r>
          </w:p>
        </w:tc>
        <w:tc>
          <w:tcPr>
            <w:tcW w:w="554"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Повышение энергетической эффективности системы освещения</w:t>
            </w:r>
          </w:p>
        </w:tc>
        <w:tc>
          <w:tcPr>
            <w:tcW w:w="345"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w:t>
            </w:r>
          </w:p>
        </w:tc>
        <w:tc>
          <w:tcPr>
            <w:tcW w:w="883"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участники - территориальные отделы Шумерлинского муниципального округа Чувашской Республики, управляющие компании, товарищества собственников жилья и недвижимости</w:t>
            </w: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всего</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0,5</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1,3</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6,4</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14,3</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федеральный бюджет</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республиканский бюджет Чувашской Республики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бюджет Шумерлинского муниципального округа</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внебюджетные источники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0,0 </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0,5</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1,3</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6,4</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14,3</w:t>
            </w:r>
          </w:p>
        </w:tc>
      </w:tr>
      <w:tr w:rsidR="00171D1D" w:rsidRPr="00592BA7" w:rsidTr="00592BA7">
        <w:trPr>
          <w:trHeight w:val="255"/>
        </w:trPr>
        <w:tc>
          <w:tcPr>
            <w:tcW w:w="378"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Мероприят</w:t>
            </w:r>
            <w:r w:rsidRPr="00592BA7">
              <w:rPr>
                <w:rFonts w:ascii="Times New Roman" w:hAnsi="Times New Roman" w:cs="Times New Roman"/>
                <w:sz w:val="20"/>
                <w:szCs w:val="20"/>
                <w:lang w:eastAsia="ru-RU"/>
              </w:rPr>
              <w:lastRenderedPageBreak/>
              <w:t>ие 2.7</w:t>
            </w:r>
          </w:p>
        </w:tc>
        <w:tc>
          <w:tcPr>
            <w:tcW w:w="554"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 xml:space="preserve">Внедрение </w:t>
            </w:r>
            <w:r w:rsidRPr="00592BA7">
              <w:rPr>
                <w:rFonts w:ascii="Times New Roman" w:hAnsi="Times New Roman" w:cs="Times New Roman"/>
                <w:sz w:val="20"/>
                <w:szCs w:val="20"/>
                <w:lang w:eastAsia="ru-RU"/>
              </w:rPr>
              <w:lastRenderedPageBreak/>
              <w:t>циркуляционных систем горячего водоснабжения, проведение гидравлической регулировки распределительных систем отопления и стояков</w:t>
            </w:r>
          </w:p>
        </w:tc>
        <w:tc>
          <w:tcPr>
            <w:tcW w:w="345"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 </w:t>
            </w:r>
          </w:p>
        </w:tc>
        <w:tc>
          <w:tcPr>
            <w:tcW w:w="883"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участники - территориальные </w:t>
            </w:r>
            <w:r w:rsidRPr="00592BA7">
              <w:rPr>
                <w:rFonts w:ascii="Times New Roman" w:hAnsi="Times New Roman" w:cs="Times New Roman"/>
                <w:sz w:val="20"/>
                <w:szCs w:val="20"/>
                <w:lang w:eastAsia="ru-RU"/>
              </w:rPr>
              <w:lastRenderedPageBreak/>
              <w:t>отделы Шумерлинского муниципального округа Чувашской Республики, управляющие компании, товарищества собственников жилья и недвижимости</w:t>
            </w: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х</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всего</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45,0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45,0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130,0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130,0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федеральный бюджет</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республиканский бюджет Чувашской Республики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бюджет Шумерлинского муниципального округа</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внебюджетные источники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45,0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45,0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130,0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130,0</w:t>
            </w:r>
          </w:p>
        </w:tc>
      </w:tr>
      <w:tr w:rsidR="00171D1D" w:rsidRPr="00592BA7" w:rsidTr="00592BA7">
        <w:trPr>
          <w:trHeight w:val="255"/>
        </w:trPr>
        <w:tc>
          <w:tcPr>
            <w:tcW w:w="378"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Мероприятие 2.8</w:t>
            </w:r>
          </w:p>
        </w:tc>
        <w:tc>
          <w:tcPr>
            <w:tcW w:w="554"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Проведение энергоэффективного капитального ремонта общего имущества в </w:t>
            </w:r>
            <w:r w:rsidRPr="00592BA7">
              <w:rPr>
                <w:rFonts w:ascii="Times New Roman" w:hAnsi="Times New Roman" w:cs="Times New Roman"/>
                <w:sz w:val="20"/>
                <w:szCs w:val="20"/>
                <w:lang w:eastAsia="ru-RU"/>
              </w:rPr>
              <w:lastRenderedPageBreak/>
              <w:t>многоквартирных домах</w:t>
            </w:r>
          </w:p>
        </w:tc>
        <w:tc>
          <w:tcPr>
            <w:tcW w:w="345"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 </w:t>
            </w:r>
          </w:p>
        </w:tc>
        <w:tc>
          <w:tcPr>
            <w:tcW w:w="883"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участники - территориальные отделы Шумерлинского муниципального округа Чувашской Республики, управляющие компании, </w:t>
            </w:r>
            <w:r w:rsidRPr="00592BA7">
              <w:rPr>
                <w:rFonts w:ascii="Times New Roman" w:hAnsi="Times New Roman" w:cs="Times New Roman"/>
                <w:sz w:val="20"/>
                <w:szCs w:val="20"/>
                <w:lang w:eastAsia="ru-RU"/>
              </w:rPr>
              <w:lastRenderedPageBreak/>
              <w:t>товарищества собственников жилья и недвижимости</w:t>
            </w: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х</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всего</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50,1</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120,3</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590,8</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1329,3</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федеральный бюджет</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республиканский бюджет Чувашской Республики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бюджет Шумерлинского муниципального округа</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внебюджетные источники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50,1</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120,3</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590,8</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1329,3</w:t>
            </w:r>
          </w:p>
        </w:tc>
      </w:tr>
      <w:tr w:rsidR="00171D1D" w:rsidRPr="00592BA7" w:rsidTr="00592BA7">
        <w:trPr>
          <w:trHeight w:val="255"/>
        </w:trPr>
        <w:tc>
          <w:tcPr>
            <w:tcW w:w="378"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Мероприятие 2.9</w:t>
            </w:r>
          </w:p>
        </w:tc>
        <w:tc>
          <w:tcPr>
            <w:tcW w:w="554"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Установка оборудования для автоматического освещения в жилищном фонде</w:t>
            </w:r>
          </w:p>
        </w:tc>
        <w:tc>
          <w:tcPr>
            <w:tcW w:w="345"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w:t>
            </w:r>
          </w:p>
        </w:tc>
        <w:tc>
          <w:tcPr>
            <w:tcW w:w="883"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участники - территориальные отделы Шумерлинского муниципального округа Чувашской Республики, управляющие компании, товарищества собственников жилья и недвижимости</w:t>
            </w: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всего</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0,3</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0,6</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6,8</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федеральный бюджет</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республиканский бюджет Чувашской </w:t>
            </w:r>
            <w:r w:rsidRPr="00592BA7">
              <w:rPr>
                <w:rFonts w:ascii="Times New Roman" w:hAnsi="Times New Roman" w:cs="Times New Roman"/>
                <w:sz w:val="20"/>
                <w:szCs w:val="20"/>
                <w:lang w:eastAsia="ru-RU"/>
              </w:rPr>
              <w:lastRenderedPageBreak/>
              <w:t>Республики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бюджет Шумерлинского муниципального округа</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внебюджетные источники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0,3</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0,6</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6,8</w:t>
            </w:r>
          </w:p>
        </w:tc>
      </w:tr>
      <w:tr w:rsidR="00171D1D" w:rsidRPr="00592BA7" w:rsidTr="00592BA7">
        <w:trPr>
          <w:trHeight w:val="255"/>
        </w:trPr>
        <w:tc>
          <w:tcPr>
            <w:tcW w:w="378"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Основное мероприятие 3</w:t>
            </w:r>
          </w:p>
        </w:tc>
        <w:tc>
          <w:tcPr>
            <w:tcW w:w="554"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Энергосбережение и повышение энергоэффективности в коммунальной инфраструктуре</w:t>
            </w:r>
          </w:p>
        </w:tc>
        <w:tc>
          <w:tcPr>
            <w:tcW w:w="345"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энергосбережение и повышение энергетической эффективности систем коммунальной инфраструктуры в </w:t>
            </w:r>
            <w:r w:rsidRPr="00592BA7">
              <w:rPr>
                <w:rFonts w:ascii="Times New Roman" w:hAnsi="Times New Roman" w:cs="Times New Roman"/>
                <w:sz w:val="20"/>
                <w:szCs w:val="20"/>
                <w:lang w:eastAsia="ru-RU"/>
              </w:rPr>
              <w:lastRenderedPageBreak/>
              <w:t>том числе в части уменьшения потерь энергетических ресурсов при передаче и проведении работ по выявлению бесхозяйных объектов недвижимого имущества</w:t>
            </w:r>
          </w:p>
        </w:tc>
        <w:tc>
          <w:tcPr>
            <w:tcW w:w="883"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 xml:space="preserve">ответственный исполнитель - отдел строительства, дорожного хозяйства и жилищно-коммунального хозяйства Управления по благоустройству  и развитию администрации Шумерлинского муниципального округа Чувашской Республики, участники - ресурсоснабжающие организации, автономное </w:t>
            </w:r>
            <w:r w:rsidRPr="00592BA7">
              <w:rPr>
                <w:rFonts w:ascii="Times New Roman" w:hAnsi="Times New Roman" w:cs="Times New Roman"/>
                <w:sz w:val="20"/>
                <w:szCs w:val="20"/>
                <w:lang w:eastAsia="ru-RU"/>
              </w:rPr>
              <w:lastRenderedPageBreak/>
              <w:t>учреждение Чувашской Республики «Центр энергосбережения и повышения энергетической эффективности» Министерства промышленности и энергетики Чувашской Республики, территориальные отделы Шумерлинского муниципального округа Чувашской Республики</w:t>
            </w: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х</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всего</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14,5</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69,2</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271,7</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5271,7</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федеральный бюджет</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республиканский бюджет Чувашской Республики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бюджет Шумерлинс</w:t>
            </w:r>
            <w:r w:rsidRPr="00592BA7">
              <w:rPr>
                <w:rFonts w:ascii="Times New Roman" w:hAnsi="Times New Roman" w:cs="Times New Roman"/>
                <w:sz w:val="20"/>
                <w:szCs w:val="20"/>
                <w:lang w:eastAsia="ru-RU"/>
              </w:rPr>
              <w:lastRenderedPageBreak/>
              <w:t>кого муниципального округа</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внебюджетные источники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14,5</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69,2</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271,7</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5271,7</w:t>
            </w:r>
          </w:p>
        </w:tc>
      </w:tr>
      <w:tr w:rsidR="00171D1D" w:rsidRPr="00592BA7" w:rsidTr="00592BA7">
        <w:trPr>
          <w:trHeight w:val="255"/>
        </w:trPr>
        <w:tc>
          <w:tcPr>
            <w:tcW w:w="378"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Целевые показатели </w:t>
            </w:r>
            <w:r w:rsidRPr="00592BA7">
              <w:rPr>
                <w:rFonts w:ascii="Times New Roman" w:hAnsi="Times New Roman" w:cs="Times New Roman"/>
                <w:sz w:val="20"/>
                <w:szCs w:val="20"/>
                <w:lang w:eastAsia="ru-RU"/>
              </w:rPr>
              <w:lastRenderedPageBreak/>
              <w:t>(индикаторы) подпрограммы, увязанные с основным мероприятием 3</w:t>
            </w:r>
          </w:p>
        </w:tc>
        <w:tc>
          <w:tcPr>
            <w:tcW w:w="2966" w:type="pct"/>
            <w:gridSpan w:val="9"/>
            <w:tcBorders>
              <w:top w:val="single" w:sz="4" w:space="0" w:color="auto"/>
              <w:left w:val="nil"/>
              <w:bottom w:val="single" w:sz="4" w:space="0" w:color="auto"/>
              <w:right w:val="single" w:sz="4" w:space="0" w:color="000000"/>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 xml:space="preserve">Доля тепловой энергии, отпущенной в тепловые сети от источников тепловой энергии, функционирующих в режиме комбинированной выработки тепловой и электрической энергии, в общем объеме производства </w:t>
            </w:r>
            <w:r w:rsidRPr="00592BA7">
              <w:rPr>
                <w:rFonts w:ascii="Times New Roman" w:hAnsi="Times New Roman" w:cs="Times New Roman"/>
                <w:sz w:val="20"/>
                <w:szCs w:val="20"/>
                <w:lang w:eastAsia="ru-RU"/>
              </w:rPr>
              <w:lastRenderedPageBreak/>
              <w:t>тепловой энергии в системах централизованного теплоснабжения на территории Шумерлинского муниципального округа Чувашской Республики, %</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x</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5</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2966" w:type="pct"/>
            <w:gridSpan w:val="9"/>
            <w:tcBorders>
              <w:top w:val="single" w:sz="4" w:space="0" w:color="auto"/>
              <w:left w:val="nil"/>
              <w:bottom w:val="single" w:sz="4" w:space="0" w:color="auto"/>
              <w:right w:val="single" w:sz="4" w:space="0" w:color="000000"/>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Удельный расход топлива на отпуск электрической энергии тепловыми электростанциями на территории Шумерлинского муниципального округа Чувашской Республики, т у.т./млн. кВтч</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320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2966" w:type="pct"/>
            <w:gridSpan w:val="9"/>
            <w:tcBorders>
              <w:top w:val="single" w:sz="4" w:space="0" w:color="auto"/>
              <w:left w:val="nil"/>
              <w:bottom w:val="single" w:sz="4" w:space="0" w:color="auto"/>
              <w:right w:val="single" w:sz="4" w:space="0" w:color="000000"/>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Удельный расход топлива на отпущенную тепловую энергию с коллекторов тепловых электростанций на территории Шумерлинского муниципального округа Чувашской Республики, т у.т./тыс. Гкал</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120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2966" w:type="pct"/>
            <w:gridSpan w:val="9"/>
            <w:tcBorders>
              <w:top w:val="single" w:sz="4" w:space="0" w:color="auto"/>
              <w:left w:val="nil"/>
              <w:bottom w:val="single" w:sz="4" w:space="0" w:color="auto"/>
              <w:right w:val="single" w:sz="4" w:space="0" w:color="000000"/>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Удельный расход топлива на отпущенную с коллекторов котельных в тепловую сеть тепловую энергию на территории Шумерлинского муниципального округа Чувашской Республики, т у.т./тыс. Гкал</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153,39</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153,39</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153,29</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152,96</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151,64</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150,34</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2966" w:type="pct"/>
            <w:gridSpan w:val="9"/>
            <w:tcBorders>
              <w:top w:val="single" w:sz="4" w:space="0" w:color="auto"/>
              <w:left w:val="nil"/>
              <w:bottom w:val="single" w:sz="4" w:space="0" w:color="auto"/>
              <w:right w:val="single" w:sz="4" w:space="0" w:color="000000"/>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Доля потерь электрической энергии при ее передаче по распределительным сетям в общем объеме переданной электрической энергии на территории Шумерлинского муниципального округа Чувашской Республики, %</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4,52</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4,52</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4,52</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4,51</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4,47</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4,43</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2966" w:type="pct"/>
            <w:gridSpan w:val="9"/>
            <w:tcBorders>
              <w:top w:val="single" w:sz="4" w:space="0" w:color="auto"/>
              <w:left w:val="nil"/>
              <w:bottom w:val="single" w:sz="4" w:space="0" w:color="auto"/>
              <w:right w:val="single" w:sz="4" w:space="0" w:color="000000"/>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Доля потерь тепловой энергии при ее передаче в общем объеме переданной тепловой энергии на территории Шумерлинского муниципального округа Чувашской Республики, %</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2966" w:type="pct"/>
            <w:gridSpan w:val="9"/>
            <w:tcBorders>
              <w:top w:val="single" w:sz="4" w:space="0" w:color="auto"/>
              <w:left w:val="nil"/>
              <w:bottom w:val="single" w:sz="4" w:space="0" w:color="auto"/>
              <w:right w:val="single" w:sz="4" w:space="0" w:color="000000"/>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Доля потерь воды в централизованных системах водоснабжения при транспортировке в общем объеме воды, поданной в водопроводную сеть на территории Шумерлинского муниципального округа Чувашской Республики, %</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w:t>
            </w:r>
          </w:p>
        </w:tc>
      </w:tr>
      <w:tr w:rsidR="00171D1D" w:rsidRPr="00592BA7" w:rsidTr="00592BA7">
        <w:trPr>
          <w:trHeight w:val="255"/>
        </w:trPr>
        <w:tc>
          <w:tcPr>
            <w:tcW w:w="378"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Мероприят</w:t>
            </w:r>
            <w:r w:rsidRPr="00592BA7">
              <w:rPr>
                <w:rFonts w:ascii="Times New Roman" w:hAnsi="Times New Roman" w:cs="Times New Roman"/>
                <w:sz w:val="20"/>
                <w:szCs w:val="20"/>
                <w:lang w:eastAsia="ru-RU"/>
              </w:rPr>
              <w:lastRenderedPageBreak/>
              <w:t>ие 3.1</w:t>
            </w:r>
          </w:p>
        </w:tc>
        <w:tc>
          <w:tcPr>
            <w:tcW w:w="554"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 xml:space="preserve">Выявление </w:t>
            </w:r>
            <w:r w:rsidRPr="00592BA7">
              <w:rPr>
                <w:rFonts w:ascii="Times New Roman" w:hAnsi="Times New Roman" w:cs="Times New Roman"/>
                <w:sz w:val="20"/>
                <w:szCs w:val="20"/>
                <w:lang w:eastAsia="ru-RU"/>
              </w:rPr>
              <w:lastRenderedPageBreak/>
              <w:t xml:space="preserve">бесхозяйных объектов недвижимого имущества, используемых для передачи энергетических ресурсов (включая газоснабжение, тепло- и электроснабжение), организации постановки таких объектов на учет в качестве бесхозяйных объектов недвижимого имущества и последующему признанию права муниципальной собственности на </w:t>
            </w:r>
            <w:r w:rsidRPr="00592BA7">
              <w:rPr>
                <w:rFonts w:ascii="Times New Roman" w:hAnsi="Times New Roman" w:cs="Times New Roman"/>
                <w:sz w:val="20"/>
                <w:szCs w:val="20"/>
                <w:lang w:eastAsia="ru-RU"/>
              </w:rPr>
              <w:lastRenderedPageBreak/>
              <w:t>такие бесхозяйные объекты недвижимого имущества</w:t>
            </w:r>
          </w:p>
        </w:tc>
        <w:tc>
          <w:tcPr>
            <w:tcW w:w="345"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 </w:t>
            </w:r>
          </w:p>
        </w:tc>
        <w:tc>
          <w:tcPr>
            <w:tcW w:w="883"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ответственный исполнитель - </w:t>
            </w:r>
            <w:r w:rsidRPr="00592BA7">
              <w:rPr>
                <w:rFonts w:ascii="Times New Roman" w:hAnsi="Times New Roman" w:cs="Times New Roman"/>
                <w:sz w:val="20"/>
                <w:szCs w:val="20"/>
                <w:lang w:eastAsia="ru-RU"/>
              </w:rPr>
              <w:lastRenderedPageBreak/>
              <w:t>отдел строительства, дорожного хозяйства и жилищно-коммунального хозяйства Управления по благоустройству  и развитию администрации Шумерлинского муниципального округа Чувашской Республики, участники - территориальные отделы Шумерлинского муниципального округа Чувашской Республики, ресурсоснабжающие организации</w:t>
            </w:r>
          </w:p>
        </w:tc>
        <w:tc>
          <w:tcPr>
            <w:tcW w:w="353" w:type="pct"/>
            <w:gridSpan w:val="2"/>
            <w:tcBorders>
              <w:top w:val="nil"/>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х</w:t>
            </w:r>
          </w:p>
        </w:tc>
        <w:tc>
          <w:tcPr>
            <w:tcW w:w="265" w:type="pct"/>
            <w:gridSpan w:val="2"/>
            <w:tcBorders>
              <w:top w:val="nil"/>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72" w:type="pct"/>
            <w:tcBorders>
              <w:top w:val="nil"/>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94" w:type="pct"/>
            <w:tcBorders>
              <w:top w:val="nil"/>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всего</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федеральный бюджет</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республиканский бюджет Чувашской Республики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бюджет Шумерлинского муниципального округа</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внебюджетные источники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Мероприятие 3.2</w:t>
            </w:r>
          </w:p>
        </w:tc>
        <w:tc>
          <w:tcPr>
            <w:tcW w:w="554"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Организация управления бесхозяйными объектами недвижимого имущества, используемыми для передачи энергетических ресурсов, с момента выявления таких объектов, в том числе определению источника компенсации возникающих при </w:t>
            </w:r>
            <w:r w:rsidRPr="00592BA7">
              <w:rPr>
                <w:rFonts w:ascii="Times New Roman" w:hAnsi="Times New Roman" w:cs="Times New Roman"/>
                <w:sz w:val="20"/>
                <w:szCs w:val="20"/>
                <w:lang w:eastAsia="ru-RU"/>
              </w:rPr>
              <w:lastRenderedPageBreak/>
              <w:t>их эксплуатации нормативных потерь энергетических ресурсов (включая тепловую энергию, электрическую энергию), в частности за счет включения расходов на компенсацию указанных потерь в тариф организации, управляющей такими объектами, в соответствии с законодательством Российской Федерации</w:t>
            </w:r>
          </w:p>
        </w:tc>
        <w:tc>
          <w:tcPr>
            <w:tcW w:w="345"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 </w:t>
            </w:r>
          </w:p>
        </w:tc>
        <w:tc>
          <w:tcPr>
            <w:tcW w:w="883"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ответственный исполнитель - отдел строительства, дорожного хозяйства и жилищно-коммунального хозяйства Управления по благоустройству  и развитию администрации Шумерлинского муниципального округа Чувашской Республики, участники - территориальные отделы Шумерлинского муниципального округа Чувашской Республики, ресурсоснабжающие организации</w:t>
            </w: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всего</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федеральный бюджет</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республиканский бюджет Чувашской Республики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бюджет Шумерлинского муниципального округа</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внебюджетные </w:t>
            </w:r>
            <w:r w:rsidRPr="00592BA7">
              <w:rPr>
                <w:rFonts w:ascii="Times New Roman" w:hAnsi="Times New Roman" w:cs="Times New Roman"/>
                <w:sz w:val="20"/>
                <w:szCs w:val="20"/>
                <w:lang w:eastAsia="ru-RU"/>
              </w:rPr>
              <w:lastRenderedPageBreak/>
              <w:t>источники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Мероприятие 3.3</w:t>
            </w:r>
          </w:p>
        </w:tc>
        <w:tc>
          <w:tcPr>
            <w:tcW w:w="554"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Реализация мероприятий отраженных в инвестиционных и производственных программах производителей электрической и тепловой энергии, электросетевых организаций, теплосетевых организаций, организаций, осуществляющих водоснабжение и водоотведение, разработанных ими в установленном законодательством об энергосбережении </w:t>
            </w:r>
            <w:r w:rsidRPr="00592BA7">
              <w:rPr>
                <w:rFonts w:ascii="Times New Roman" w:hAnsi="Times New Roman" w:cs="Times New Roman"/>
                <w:sz w:val="20"/>
                <w:szCs w:val="20"/>
                <w:lang w:eastAsia="ru-RU"/>
              </w:rPr>
              <w:lastRenderedPageBreak/>
              <w:t>и о повышении энергетической эффективности порядке программ по энергосбережению и повышению энергетической эффективности</w:t>
            </w:r>
          </w:p>
        </w:tc>
        <w:tc>
          <w:tcPr>
            <w:tcW w:w="345"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 </w:t>
            </w:r>
          </w:p>
        </w:tc>
        <w:tc>
          <w:tcPr>
            <w:tcW w:w="883"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участник - ресурсоснабжающие организации</w:t>
            </w: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всего</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федеральный бюджет</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республиканский бюджет Чувашской Республики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бюджет Шумерлинского муниципального округа</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внебюджетные источники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Мероприятие 3.4</w:t>
            </w:r>
          </w:p>
        </w:tc>
        <w:tc>
          <w:tcPr>
            <w:tcW w:w="554"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Реализация мероприятий, направленных на снижение потребления энергетических ресурсов на собственные нужды</w:t>
            </w:r>
          </w:p>
        </w:tc>
        <w:tc>
          <w:tcPr>
            <w:tcW w:w="345"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w:t>
            </w:r>
          </w:p>
        </w:tc>
        <w:tc>
          <w:tcPr>
            <w:tcW w:w="883"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участник - ресурсоснабжающие организации</w:t>
            </w: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всего</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1,2</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5,4</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5,4</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федеральный бюджет</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республиканский бюджет Чувашской Республики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бюджет Шумерлинского муниципаль</w:t>
            </w:r>
            <w:r w:rsidRPr="00592BA7">
              <w:rPr>
                <w:rFonts w:ascii="Times New Roman" w:hAnsi="Times New Roman" w:cs="Times New Roman"/>
                <w:sz w:val="20"/>
                <w:szCs w:val="20"/>
                <w:lang w:eastAsia="ru-RU"/>
              </w:rPr>
              <w:lastRenderedPageBreak/>
              <w:t>ного округа</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внебюджетные источники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0,0 </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0,0 </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1,2</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5,4</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5,4</w:t>
            </w:r>
          </w:p>
        </w:tc>
      </w:tr>
      <w:tr w:rsidR="00171D1D" w:rsidRPr="00592BA7" w:rsidTr="00592BA7">
        <w:trPr>
          <w:trHeight w:val="255"/>
        </w:trPr>
        <w:tc>
          <w:tcPr>
            <w:tcW w:w="378"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Мероприятие 3.5</w:t>
            </w:r>
          </w:p>
        </w:tc>
        <w:tc>
          <w:tcPr>
            <w:tcW w:w="554"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Внедрение установок совместной выработки тепловой и электрической энергии на базе газотурбинных установок с котлом-утилизатором, газотурбинных установок, газопоршневых установок, турбодетандерных установок</w:t>
            </w:r>
          </w:p>
        </w:tc>
        <w:tc>
          <w:tcPr>
            <w:tcW w:w="345"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w:t>
            </w:r>
          </w:p>
        </w:tc>
        <w:tc>
          <w:tcPr>
            <w:tcW w:w="883"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участник - ресурсоснабжающие организации</w:t>
            </w: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всего</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5000,0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федеральный бюджет</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республиканский бюджет Чувашской Республики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бюджет Шумерлинского муниципального округа</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внебюджетные </w:t>
            </w:r>
            <w:r w:rsidRPr="00592BA7">
              <w:rPr>
                <w:rFonts w:ascii="Times New Roman" w:hAnsi="Times New Roman" w:cs="Times New Roman"/>
                <w:sz w:val="20"/>
                <w:szCs w:val="20"/>
                <w:lang w:eastAsia="ru-RU"/>
              </w:rPr>
              <w:lastRenderedPageBreak/>
              <w:t>источники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0,0 </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0,0 </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0,0 </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0,0 </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5000,</w:t>
            </w:r>
            <w:r w:rsidRPr="00592BA7">
              <w:rPr>
                <w:rFonts w:ascii="Times New Roman" w:hAnsi="Times New Roman" w:cs="Times New Roman"/>
                <w:sz w:val="20"/>
                <w:szCs w:val="20"/>
                <w:lang w:eastAsia="ru-RU"/>
              </w:rPr>
              <w:lastRenderedPageBreak/>
              <w:t>0</w:t>
            </w:r>
          </w:p>
        </w:tc>
      </w:tr>
      <w:tr w:rsidR="00171D1D" w:rsidRPr="00592BA7" w:rsidTr="00592BA7">
        <w:trPr>
          <w:trHeight w:val="255"/>
        </w:trPr>
        <w:tc>
          <w:tcPr>
            <w:tcW w:w="378"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Мероприятие 3.6</w:t>
            </w:r>
          </w:p>
        </w:tc>
        <w:tc>
          <w:tcPr>
            <w:tcW w:w="554"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Установка регулируемого привода в системах водоснабжения и водоотведения</w:t>
            </w:r>
          </w:p>
        </w:tc>
        <w:tc>
          <w:tcPr>
            <w:tcW w:w="345"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w:t>
            </w:r>
          </w:p>
        </w:tc>
        <w:tc>
          <w:tcPr>
            <w:tcW w:w="883"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участник - ресурсоснабжающие организации</w:t>
            </w: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всего</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4,0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23,0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23,0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федеральный бюджет</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республиканский бюджет Чувашской Республики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бюджет Шумерлинского муниципального округа</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внебюджетные источники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0,0 </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4,0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23,0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23,0</w:t>
            </w:r>
          </w:p>
        </w:tc>
      </w:tr>
      <w:tr w:rsidR="00171D1D" w:rsidRPr="00592BA7" w:rsidTr="00592BA7">
        <w:trPr>
          <w:trHeight w:val="255"/>
        </w:trPr>
        <w:tc>
          <w:tcPr>
            <w:tcW w:w="378"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Мероприят</w:t>
            </w:r>
            <w:r w:rsidRPr="00592BA7">
              <w:rPr>
                <w:rFonts w:ascii="Times New Roman" w:hAnsi="Times New Roman" w:cs="Times New Roman"/>
                <w:sz w:val="20"/>
                <w:szCs w:val="20"/>
                <w:lang w:eastAsia="ru-RU"/>
              </w:rPr>
              <w:lastRenderedPageBreak/>
              <w:t>ие 3.7</w:t>
            </w:r>
          </w:p>
        </w:tc>
        <w:tc>
          <w:tcPr>
            <w:tcW w:w="554"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 xml:space="preserve">Установка </w:t>
            </w:r>
            <w:r w:rsidRPr="00592BA7">
              <w:rPr>
                <w:rFonts w:ascii="Times New Roman" w:hAnsi="Times New Roman" w:cs="Times New Roman"/>
                <w:sz w:val="20"/>
                <w:szCs w:val="20"/>
                <w:lang w:eastAsia="ru-RU"/>
              </w:rPr>
              <w:lastRenderedPageBreak/>
              <w:t>тепловых насосов и обустройство теплонасосных станций для отопления и горячего водоснабжения жилых домов и производственных объектов тепловой энергией, накапливаемой приповерхностным грунтом и атмосферным воздухом или вторично используемым</w:t>
            </w:r>
          </w:p>
        </w:tc>
        <w:tc>
          <w:tcPr>
            <w:tcW w:w="345"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 </w:t>
            </w:r>
          </w:p>
        </w:tc>
        <w:tc>
          <w:tcPr>
            <w:tcW w:w="883"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участник - </w:t>
            </w:r>
            <w:r w:rsidRPr="00592BA7">
              <w:rPr>
                <w:rFonts w:ascii="Times New Roman" w:hAnsi="Times New Roman" w:cs="Times New Roman"/>
                <w:sz w:val="20"/>
                <w:szCs w:val="20"/>
                <w:lang w:eastAsia="ru-RU"/>
              </w:rPr>
              <w:lastRenderedPageBreak/>
              <w:t>ресурсоснабжающие организации</w:t>
            </w: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х</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всего</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4,2</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14,9</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14,9</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федеральный бюджет</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республиканский бюджет Чувашской Республики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бюджет Шумерлинского муниципального округа</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внебюджетные источники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0,0 </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0,0 </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4,2</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14,9</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14,9</w:t>
            </w:r>
          </w:p>
        </w:tc>
      </w:tr>
      <w:tr w:rsidR="00171D1D" w:rsidRPr="00592BA7" w:rsidTr="00592BA7">
        <w:trPr>
          <w:trHeight w:val="255"/>
        </w:trPr>
        <w:tc>
          <w:tcPr>
            <w:tcW w:w="378"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Мероприятие 3.8</w:t>
            </w:r>
          </w:p>
        </w:tc>
        <w:tc>
          <w:tcPr>
            <w:tcW w:w="554"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Мероприятия по модернизации оборудования, в том числе замене </w:t>
            </w:r>
            <w:r w:rsidRPr="00592BA7">
              <w:rPr>
                <w:rFonts w:ascii="Times New Roman" w:hAnsi="Times New Roman" w:cs="Times New Roman"/>
                <w:sz w:val="20"/>
                <w:szCs w:val="20"/>
                <w:lang w:eastAsia="ru-RU"/>
              </w:rPr>
              <w:lastRenderedPageBreak/>
              <w:t>оборудования на оборудование с более высоким коэффициентом полезного действия, внедрение инновационных решений и энергосберегающих технологий, в том числе энергоэффективной нанотехнологичной продукции</w:t>
            </w:r>
          </w:p>
        </w:tc>
        <w:tc>
          <w:tcPr>
            <w:tcW w:w="345"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 </w:t>
            </w:r>
          </w:p>
        </w:tc>
        <w:tc>
          <w:tcPr>
            <w:tcW w:w="883"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участник - ресурсоснабжающие организации</w:t>
            </w: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всего</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5,0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15,0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52,5</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52,5</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федеральный бюджет</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республиканский бюджет Чувашской Республики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бюджет Шумерлинского муниципального округа</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внебюджетные источники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5,0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15,0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52,5</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52,5</w:t>
            </w:r>
          </w:p>
        </w:tc>
      </w:tr>
      <w:tr w:rsidR="00171D1D" w:rsidRPr="00592BA7" w:rsidTr="00592BA7">
        <w:trPr>
          <w:trHeight w:val="255"/>
        </w:trPr>
        <w:tc>
          <w:tcPr>
            <w:tcW w:w="378"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Мероприятие 3.9</w:t>
            </w:r>
          </w:p>
        </w:tc>
        <w:tc>
          <w:tcPr>
            <w:tcW w:w="554"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Мероприятия по сокращению потерь электрической, тепловой энергии, холодной и горячей воды при </w:t>
            </w:r>
            <w:r w:rsidRPr="00592BA7">
              <w:rPr>
                <w:rFonts w:ascii="Times New Roman" w:hAnsi="Times New Roman" w:cs="Times New Roman"/>
                <w:sz w:val="20"/>
                <w:szCs w:val="20"/>
                <w:lang w:eastAsia="ru-RU"/>
              </w:rPr>
              <w:lastRenderedPageBreak/>
              <w:t>осуществлении регулируемых видов деятельности</w:t>
            </w:r>
          </w:p>
        </w:tc>
        <w:tc>
          <w:tcPr>
            <w:tcW w:w="345"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 </w:t>
            </w:r>
          </w:p>
        </w:tc>
        <w:tc>
          <w:tcPr>
            <w:tcW w:w="883"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участник - ресурсоснабжающие организации</w:t>
            </w: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всего</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9,2</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32,2</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126,3</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126,3</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федеральный бюджет</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республиканский бюджет </w:t>
            </w:r>
            <w:r w:rsidRPr="00592BA7">
              <w:rPr>
                <w:rFonts w:ascii="Times New Roman" w:hAnsi="Times New Roman" w:cs="Times New Roman"/>
                <w:sz w:val="20"/>
                <w:szCs w:val="20"/>
                <w:lang w:eastAsia="ru-RU"/>
              </w:rPr>
              <w:lastRenderedPageBreak/>
              <w:t>Чувашской Республики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бюджет Шумерлинского муниципального округа</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внебюджетные источники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9,2</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32,2</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126,3</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126,3</w:t>
            </w:r>
          </w:p>
        </w:tc>
      </w:tr>
      <w:tr w:rsidR="00171D1D" w:rsidRPr="00592BA7" w:rsidTr="00592BA7">
        <w:trPr>
          <w:trHeight w:val="255"/>
        </w:trPr>
        <w:tc>
          <w:tcPr>
            <w:tcW w:w="378"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Мероприятие 3.10</w:t>
            </w:r>
          </w:p>
        </w:tc>
        <w:tc>
          <w:tcPr>
            <w:tcW w:w="554"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Герметизация зданий (окна, двери, швы, подвалы, выходы вентиляции, инженерных коммуникаций)</w:t>
            </w:r>
          </w:p>
        </w:tc>
        <w:tc>
          <w:tcPr>
            <w:tcW w:w="345"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w:t>
            </w:r>
          </w:p>
        </w:tc>
        <w:tc>
          <w:tcPr>
            <w:tcW w:w="883"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участник - ресурсоснабжающие организации</w:t>
            </w: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всего</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0,3</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3,3</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18,7</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18,7</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федеральный бюджет</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республиканский бюджет Чувашской Республики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бюджет Шумерлинс</w:t>
            </w:r>
            <w:r w:rsidRPr="00592BA7">
              <w:rPr>
                <w:rFonts w:ascii="Times New Roman" w:hAnsi="Times New Roman" w:cs="Times New Roman"/>
                <w:sz w:val="20"/>
                <w:szCs w:val="20"/>
                <w:lang w:eastAsia="ru-RU"/>
              </w:rPr>
              <w:lastRenderedPageBreak/>
              <w:t>кого муниципального округа</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внебюджетные источники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0,0 </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0,3</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3,3</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18,7</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18,7</w:t>
            </w:r>
          </w:p>
        </w:tc>
      </w:tr>
      <w:tr w:rsidR="00171D1D" w:rsidRPr="00592BA7" w:rsidTr="00592BA7">
        <w:trPr>
          <w:trHeight w:val="255"/>
        </w:trPr>
        <w:tc>
          <w:tcPr>
            <w:tcW w:w="378"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Мероприятие 3.11</w:t>
            </w:r>
          </w:p>
        </w:tc>
        <w:tc>
          <w:tcPr>
            <w:tcW w:w="554"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Внедрение реле-регуляторов светильников</w:t>
            </w:r>
          </w:p>
        </w:tc>
        <w:tc>
          <w:tcPr>
            <w:tcW w:w="345"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w:t>
            </w:r>
          </w:p>
        </w:tc>
        <w:tc>
          <w:tcPr>
            <w:tcW w:w="883"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участник - ресурсоснабжающие организации</w:t>
            </w: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всего</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5,1</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16,0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16,0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федеральный бюджет</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республиканский бюджет Чувашской Республики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бюджет Шумерлинского муниципального округа</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внебюджетные источники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0,0 </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0,0 </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5,1</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16,0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16,0</w:t>
            </w:r>
          </w:p>
        </w:tc>
      </w:tr>
      <w:tr w:rsidR="00171D1D" w:rsidRPr="00592BA7" w:rsidTr="00592BA7">
        <w:trPr>
          <w:trHeight w:val="255"/>
        </w:trPr>
        <w:tc>
          <w:tcPr>
            <w:tcW w:w="378"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Мероприятие 3.12</w:t>
            </w:r>
          </w:p>
        </w:tc>
        <w:tc>
          <w:tcPr>
            <w:tcW w:w="554"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Мероприятия по установке осветительных устройств с использованием светодиодов</w:t>
            </w:r>
          </w:p>
        </w:tc>
        <w:tc>
          <w:tcPr>
            <w:tcW w:w="345"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w:t>
            </w:r>
          </w:p>
        </w:tc>
        <w:tc>
          <w:tcPr>
            <w:tcW w:w="883"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участник - ресурсоснабжающие организации</w:t>
            </w: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всего</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4,2</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14,9</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14,9</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федеральный бюджет</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республиканский бюджет Чувашской Республики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бюджет Шумерлинского муниципального округа</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внебюджетные источники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0,0 </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0,0 </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4,2</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14,9</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14,9</w:t>
            </w:r>
          </w:p>
        </w:tc>
      </w:tr>
      <w:tr w:rsidR="00171D1D" w:rsidRPr="00592BA7" w:rsidTr="00592BA7">
        <w:trPr>
          <w:trHeight w:val="255"/>
        </w:trPr>
        <w:tc>
          <w:tcPr>
            <w:tcW w:w="378"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Мероприятие 3.13</w:t>
            </w:r>
          </w:p>
        </w:tc>
        <w:tc>
          <w:tcPr>
            <w:tcW w:w="554"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Разработка и корректировка программ энергосбережения и повышения энергетической эффективности организаций, осуществляющих регулируемую деятельность</w:t>
            </w:r>
          </w:p>
        </w:tc>
        <w:tc>
          <w:tcPr>
            <w:tcW w:w="345"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w:t>
            </w:r>
          </w:p>
        </w:tc>
        <w:tc>
          <w:tcPr>
            <w:tcW w:w="883"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участники - автономное учреждение Чувашской Республики «Центр энергосбережения и повышения энергетической эффективности» Министерства промышленности и энергетики Чувашской Республики, ресурсоснабжающие организации</w:t>
            </w: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всего</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федеральный бюджет</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республиканский бюджет Чувашской Республики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бюджет Шумерлинского муниципального округа</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внебюджетные источники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Основное мероприятие 4</w:t>
            </w:r>
          </w:p>
        </w:tc>
        <w:tc>
          <w:tcPr>
            <w:tcW w:w="554"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Информационное и правовое обеспечение мероприятий по </w:t>
            </w:r>
            <w:r w:rsidRPr="00592BA7">
              <w:rPr>
                <w:rFonts w:ascii="Times New Roman" w:hAnsi="Times New Roman" w:cs="Times New Roman"/>
                <w:sz w:val="20"/>
                <w:szCs w:val="20"/>
                <w:lang w:eastAsia="ru-RU"/>
              </w:rPr>
              <w:lastRenderedPageBreak/>
              <w:t>энергосбережению и повышению энергоэффективности</w:t>
            </w:r>
          </w:p>
        </w:tc>
        <w:tc>
          <w:tcPr>
            <w:tcW w:w="345"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 xml:space="preserve">ведение комплекса организационно - </w:t>
            </w:r>
            <w:r w:rsidRPr="00592BA7">
              <w:rPr>
                <w:rFonts w:ascii="Times New Roman" w:hAnsi="Times New Roman" w:cs="Times New Roman"/>
                <w:sz w:val="20"/>
                <w:szCs w:val="20"/>
                <w:lang w:eastAsia="ru-RU"/>
              </w:rPr>
              <w:lastRenderedPageBreak/>
              <w:t>правовых мероприятий по управлению энергосбережением, в том числе создание системы показателей, характеризующих энергетическую эффективность при производстве, передаче и потреблен</w:t>
            </w:r>
            <w:r w:rsidRPr="00592BA7">
              <w:rPr>
                <w:rFonts w:ascii="Times New Roman" w:hAnsi="Times New Roman" w:cs="Times New Roman"/>
                <w:sz w:val="20"/>
                <w:szCs w:val="20"/>
                <w:lang w:eastAsia="ru-RU"/>
              </w:rPr>
              <w:lastRenderedPageBreak/>
              <w:t>ии энергетических ресурсов, их мониторинга, а также сбора и анализа информации об энергоемкости экономики муниципального округа</w:t>
            </w:r>
          </w:p>
        </w:tc>
        <w:tc>
          <w:tcPr>
            <w:tcW w:w="883"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 xml:space="preserve">ответственный исполнитель - отдел строительства, дорожного хозяйства и жилищно-коммунального </w:t>
            </w:r>
            <w:r w:rsidRPr="00592BA7">
              <w:rPr>
                <w:rFonts w:ascii="Times New Roman" w:hAnsi="Times New Roman" w:cs="Times New Roman"/>
                <w:sz w:val="20"/>
                <w:szCs w:val="20"/>
                <w:lang w:eastAsia="ru-RU"/>
              </w:rPr>
              <w:lastRenderedPageBreak/>
              <w:t xml:space="preserve">хозяйства Управления по благоустройству  и развитию администрации Шумерлинского муниципального округа Чувашской Республики, исполнители - отдел сельского хозяйства и экологии Шумерлинского муниципального округа Чувашской Республики, отдел образования, спорта и молодежной политики Шумерлинского муниципального округа Чувашской Республики, участники - управляющие компании, товарищества собственников жилья и недвижимости, ресурсоснабжающие организации, муниципальные учреждения Шумерлинского муниципального округа </w:t>
            </w:r>
            <w:r w:rsidRPr="00592BA7">
              <w:rPr>
                <w:rFonts w:ascii="Times New Roman" w:hAnsi="Times New Roman" w:cs="Times New Roman"/>
                <w:sz w:val="20"/>
                <w:szCs w:val="20"/>
                <w:lang w:eastAsia="ru-RU"/>
              </w:rPr>
              <w:lastRenderedPageBreak/>
              <w:t>Чувашской Республики, территориальные отделы Шумерлинского муниципального округа Чувашской Республики, автономное учреждение Чувашской Республики «Центр энергосбережения и повышения энергетической эффективности» Министерства промышленности и энергетики Чувашской Республики</w:t>
            </w: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х</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всего</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67,0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67,1</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78,7</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310,0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480,0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федеральный бюджет</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республиканский бюджет Чувашской Республики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бюджет Шумерлинского муниципального округа</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26,0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190,0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360,0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внебюджетные источники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67,0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67,1</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52,7</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120,0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120,0</w:t>
            </w:r>
          </w:p>
        </w:tc>
      </w:tr>
      <w:tr w:rsidR="00171D1D" w:rsidRPr="00592BA7" w:rsidTr="00592BA7">
        <w:trPr>
          <w:trHeight w:val="255"/>
        </w:trPr>
        <w:tc>
          <w:tcPr>
            <w:tcW w:w="378"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Целевые показатели (индикатор</w:t>
            </w:r>
            <w:r w:rsidRPr="00592BA7">
              <w:rPr>
                <w:rFonts w:ascii="Times New Roman" w:hAnsi="Times New Roman" w:cs="Times New Roman"/>
                <w:sz w:val="20"/>
                <w:szCs w:val="20"/>
                <w:lang w:eastAsia="ru-RU"/>
              </w:rPr>
              <w:lastRenderedPageBreak/>
              <w:t>ы) подпрограммы, увязанные с основным мероприятием 4</w:t>
            </w:r>
          </w:p>
        </w:tc>
        <w:tc>
          <w:tcPr>
            <w:tcW w:w="2966" w:type="pct"/>
            <w:gridSpan w:val="9"/>
            <w:tcBorders>
              <w:top w:val="single" w:sz="4" w:space="0" w:color="auto"/>
              <w:left w:val="nil"/>
              <w:bottom w:val="single" w:sz="4" w:space="0" w:color="auto"/>
              <w:right w:val="single" w:sz="4" w:space="0" w:color="000000"/>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Доля объема тепловой энергии, расчеты за которую осуществляются с использованием приборов учета, в общем объеме тепловой энергии, потребляемой (используемой) на территории  Шумерлинского муниципального округа Чувашской Республики, %</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28,1</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28,1</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34,6</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41,1</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67,1</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2966" w:type="pct"/>
            <w:gridSpan w:val="9"/>
            <w:tcBorders>
              <w:top w:val="single" w:sz="4" w:space="0" w:color="auto"/>
              <w:left w:val="nil"/>
              <w:bottom w:val="single" w:sz="4" w:space="0" w:color="auto"/>
              <w:right w:val="single" w:sz="4" w:space="0" w:color="000000"/>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Доля объема электрической энергии, расчеты за которую осуществляются с использованием приборов учета, в общем объеме электрической энергии, потребляемой (используемой) на территории  Шумерлинского муниципального округа Чувашской Республики, %</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76,9</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76,9</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79</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81,1</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89,5</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2966" w:type="pct"/>
            <w:gridSpan w:val="9"/>
            <w:tcBorders>
              <w:top w:val="single" w:sz="4" w:space="0" w:color="auto"/>
              <w:left w:val="nil"/>
              <w:bottom w:val="single" w:sz="4" w:space="0" w:color="auto"/>
              <w:right w:val="single" w:sz="4" w:space="0" w:color="000000"/>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Доля объема холодной воды, расчеты за которую осуществляются с использованием приборов учета, в общем объеме холодной воды, потребляемой (используемой) на территории  Шумерлинского муниципального округа Чувашской Республики, %</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79,6</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79,6</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81,5</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83,4</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91</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2966" w:type="pct"/>
            <w:gridSpan w:val="9"/>
            <w:tcBorders>
              <w:top w:val="single" w:sz="4" w:space="0" w:color="auto"/>
              <w:left w:val="nil"/>
              <w:bottom w:val="single" w:sz="4" w:space="0" w:color="auto"/>
              <w:right w:val="single" w:sz="4" w:space="0" w:color="000000"/>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Доля объема природного газа, расчеты за который осуществляются с использованием приборов учета, в общем объеме природного газа, потребляемого (используемого) на территории  Шумерлинского муниципального округа Чувашской Республики, %</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2966" w:type="pct"/>
            <w:gridSpan w:val="9"/>
            <w:tcBorders>
              <w:top w:val="single" w:sz="4" w:space="0" w:color="auto"/>
              <w:left w:val="nil"/>
              <w:bottom w:val="single" w:sz="4" w:space="0" w:color="auto"/>
              <w:right w:val="single" w:sz="4" w:space="0" w:color="000000"/>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Количество энергосервисных договоров (контрактов), заключенных муниципальными образованиями Шумерлинского муниципального округа Чувашской Республики, ед.</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2966" w:type="pct"/>
            <w:gridSpan w:val="9"/>
            <w:tcBorders>
              <w:top w:val="single" w:sz="4" w:space="0" w:color="auto"/>
              <w:left w:val="nil"/>
              <w:bottom w:val="single" w:sz="4" w:space="0" w:color="auto"/>
              <w:right w:val="single" w:sz="4" w:space="0" w:color="000000"/>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Доля муниципальных заказчиков в общем объеме муниципальных заказчиков Шумерлинского муниципального округа Чувашской Республики с которыми заключены энергосервисные договора (контракты), %</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6,7</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13,3</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13,3</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20</w:t>
            </w:r>
          </w:p>
        </w:tc>
      </w:tr>
      <w:tr w:rsidR="00171D1D" w:rsidRPr="00592BA7" w:rsidTr="00592BA7">
        <w:trPr>
          <w:trHeight w:val="255"/>
        </w:trPr>
        <w:tc>
          <w:tcPr>
            <w:tcW w:w="378"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Мероприятие 4.1</w:t>
            </w:r>
          </w:p>
        </w:tc>
        <w:tc>
          <w:tcPr>
            <w:tcW w:w="554"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Разработка и корректировка муниципальной программы энергосбережения и повышения </w:t>
            </w:r>
            <w:r w:rsidRPr="00592BA7">
              <w:rPr>
                <w:rFonts w:ascii="Times New Roman" w:hAnsi="Times New Roman" w:cs="Times New Roman"/>
                <w:sz w:val="20"/>
                <w:szCs w:val="20"/>
                <w:lang w:eastAsia="ru-RU"/>
              </w:rPr>
              <w:lastRenderedPageBreak/>
              <w:t>энергетической эффективности</w:t>
            </w:r>
          </w:p>
        </w:tc>
        <w:tc>
          <w:tcPr>
            <w:tcW w:w="345"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 </w:t>
            </w:r>
          </w:p>
        </w:tc>
        <w:tc>
          <w:tcPr>
            <w:tcW w:w="883"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ответственный исполнитель - отдел строительства, дорожного хозяйства и жилищно-коммунального хозяйства Управления по благоустройству  и развитию </w:t>
            </w:r>
            <w:r w:rsidRPr="00592BA7">
              <w:rPr>
                <w:rFonts w:ascii="Times New Roman" w:hAnsi="Times New Roman" w:cs="Times New Roman"/>
                <w:sz w:val="20"/>
                <w:szCs w:val="20"/>
                <w:lang w:eastAsia="ru-RU"/>
              </w:rPr>
              <w:lastRenderedPageBreak/>
              <w:t xml:space="preserve">администрации Шумерлинского муниципального округа Чувашской Республики, исполнители - отдел сельского хозяйства и экологии Шумерлинского муниципального округа Чувашской Республики, отдел образования, спорта и молодежной политики Шумерлинского муниципального округа Чувашской Республики, участники - территориальные отделы Шумерлинского муниципального округа Чувашской Республики, муниципальные учреждения Шумерлинского муниципального округа Чувашской Республики, ресурсоснабжающие организации, управляющие </w:t>
            </w:r>
            <w:r w:rsidRPr="00592BA7">
              <w:rPr>
                <w:rFonts w:ascii="Times New Roman" w:hAnsi="Times New Roman" w:cs="Times New Roman"/>
                <w:sz w:val="20"/>
                <w:szCs w:val="20"/>
                <w:lang w:eastAsia="ru-RU"/>
              </w:rPr>
              <w:lastRenderedPageBreak/>
              <w:t>компании, товарищества собственников жилья и недвижимости, автономное учреждение Чувашской Республики «Центр энергосбережения и повышения энергетической эффективности» Министерства промышленности и энергетики Чувашской Республики</w:t>
            </w:r>
          </w:p>
        </w:tc>
        <w:tc>
          <w:tcPr>
            <w:tcW w:w="353" w:type="pct"/>
            <w:gridSpan w:val="2"/>
            <w:tcBorders>
              <w:top w:val="nil"/>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х</w:t>
            </w:r>
          </w:p>
        </w:tc>
        <w:tc>
          <w:tcPr>
            <w:tcW w:w="265" w:type="pct"/>
            <w:gridSpan w:val="2"/>
            <w:tcBorders>
              <w:top w:val="nil"/>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72" w:type="pct"/>
            <w:tcBorders>
              <w:top w:val="nil"/>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94" w:type="pct"/>
            <w:tcBorders>
              <w:top w:val="nil"/>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всего</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150,0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федеральный бюджет</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республиканский </w:t>
            </w:r>
            <w:r w:rsidRPr="00592BA7">
              <w:rPr>
                <w:rFonts w:ascii="Times New Roman" w:hAnsi="Times New Roman" w:cs="Times New Roman"/>
                <w:sz w:val="20"/>
                <w:szCs w:val="20"/>
                <w:lang w:eastAsia="ru-RU"/>
              </w:rPr>
              <w:lastRenderedPageBreak/>
              <w:t>бюджет Чувашской Республики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бюджет Шумерлинского муниципального округа</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150,0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внебюджетные источники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Мероприятие 4.2</w:t>
            </w:r>
          </w:p>
        </w:tc>
        <w:tc>
          <w:tcPr>
            <w:tcW w:w="554"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Содействие заключению энергосервисных договоров (контрактов) </w:t>
            </w:r>
          </w:p>
        </w:tc>
        <w:tc>
          <w:tcPr>
            <w:tcW w:w="345"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w:t>
            </w:r>
          </w:p>
        </w:tc>
        <w:tc>
          <w:tcPr>
            <w:tcW w:w="883"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ответственный исполнитель - отдел строительства, дорожного хозяйства и жилищно-коммунального хозяйства Управления по благоустройству  и развитию администрации Шумерлинского муниципального округа </w:t>
            </w:r>
            <w:r w:rsidRPr="00592BA7">
              <w:rPr>
                <w:rFonts w:ascii="Times New Roman" w:hAnsi="Times New Roman" w:cs="Times New Roman"/>
                <w:sz w:val="20"/>
                <w:szCs w:val="20"/>
                <w:lang w:eastAsia="ru-RU"/>
              </w:rPr>
              <w:lastRenderedPageBreak/>
              <w:t>Чувашской Республики</w:t>
            </w: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х</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всего</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федеральный бюджет</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республиканский бюджет Чувашской Республики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бюджет Шумерлинского муниципального округа</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внебюджетные источники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Мероприятие 4.3</w:t>
            </w:r>
          </w:p>
        </w:tc>
        <w:tc>
          <w:tcPr>
            <w:tcW w:w="554"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Организационно и нормативно-правовое обеспечение осуществление деятельности подведомственных организаций для возможности организации учета потребляемых топливно-энергетических ресурсов и </w:t>
            </w:r>
            <w:r w:rsidRPr="00592BA7">
              <w:rPr>
                <w:rFonts w:ascii="Times New Roman" w:hAnsi="Times New Roman" w:cs="Times New Roman"/>
                <w:sz w:val="20"/>
                <w:szCs w:val="20"/>
                <w:lang w:eastAsia="ru-RU"/>
              </w:rPr>
              <w:lastRenderedPageBreak/>
              <w:t>реализации мероприятий по энергосбережению и повышению энергетической эффективности</w:t>
            </w:r>
          </w:p>
        </w:tc>
        <w:tc>
          <w:tcPr>
            <w:tcW w:w="345"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 </w:t>
            </w:r>
          </w:p>
        </w:tc>
        <w:tc>
          <w:tcPr>
            <w:tcW w:w="883"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ответственный исполнитель - отдел строительства, дорожного хозяйства и жилищно-коммунального хозяйства Управления по благоустройству  и развитию администрации Шумерлинского муниципального округа Чувашской Республики</w:t>
            </w: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всего</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федеральный бюджет</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республиканский бюджет Чувашской Республики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бюджет Шумерлинского муниципаль</w:t>
            </w:r>
            <w:r w:rsidRPr="00592BA7">
              <w:rPr>
                <w:rFonts w:ascii="Times New Roman" w:hAnsi="Times New Roman" w:cs="Times New Roman"/>
                <w:sz w:val="20"/>
                <w:szCs w:val="20"/>
                <w:lang w:eastAsia="ru-RU"/>
              </w:rPr>
              <w:lastRenderedPageBreak/>
              <w:t>ного округа</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внебюджетные источники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Мероприятие 4.4</w:t>
            </w:r>
          </w:p>
        </w:tc>
        <w:tc>
          <w:tcPr>
            <w:tcW w:w="554"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Проведение энергетического мониторинга использования тепловой, электрической энергии, природного газа и воды в муниципальных учреждениях и жилищном фонде</w:t>
            </w:r>
          </w:p>
        </w:tc>
        <w:tc>
          <w:tcPr>
            <w:tcW w:w="345"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w:t>
            </w:r>
          </w:p>
        </w:tc>
        <w:tc>
          <w:tcPr>
            <w:tcW w:w="883"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ответственный исполнитель - отдел строительства, дорожного хозяйства и жилищно-коммунального хозяйства Управления по благоустройству  и развитию администрации Шумерлинского муниципального округа Чувашской Республики, участник - управляющие компании, товарищества собственников жилья и недвижимости</w:t>
            </w: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всего</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федеральный бюджет</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республиканский бюджет Чувашской Республики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бюджет Шумерлинского муниципального округа</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внебюджетн</w:t>
            </w:r>
            <w:r w:rsidRPr="00592BA7">
              <w:rPr>
                <w:rFonts w:ascii="Times New Roman" w:hAnsi="Times New Roman" w:cs="Times New Roman"/>
                <w:sz w:val="20"/>
                <w:szCs w:val="20"/>
                <w:lang w:eastAsia="ru-RU"/>
              </w:rPr>
              <w:lastRenderedPageBreak/>
              <w:t>ые источники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Мероприятие 4.5</w:t>
            </w:r>
          </w:p>
        </w:tc>
        <w:tc>
          <w:tcPr>
            <w:tcW w:w="554"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Стимулирование производителей и потребителей энергетических ресурсов, организаций, осуществляющих передачу энергетических ресурсов, проведению мероприятий по энергосбережению, повышению энергетической эффективности и сокращению потерь энергетических ресурсов</w:t>
            </w:r>
          </w:p>
        </w:tc>
        <w:tc>
          <w:tcPr>
            <w:tcW w:w="345"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w:t>
            </w:r>
          </w:p>
        </w:tc>
        <w:tc>
          <w:tcPr>
            <w:tcW w:w="883"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ответственный исполнитель - отдел строительства, дорожного хозяйства и жилищно-коммунального хозяйства Управления по благоустройству  и развитию администрации Шумерлинского муниципального округа Чувашской Республики, участник - ресурсоснабжающие организации</w:t>
            </w: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всего</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федеральный бюджет</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республиканский бюджет Чувашской Республики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бюджет Шумерлинского муниципального округа</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внебюджетные источники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Мероприятие 4.6</w:t>
            </w:r>
          </w:p>
        </w:tc>
        <w:tc>
          <w:tcPr>
            <w:tcW w:w="554"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Введение социальной нормы потребления энергетических ресурсов и дифференцированных цен (тарифов) на энергетические ресурсы в пределах и свыше социальной нормы потребления, введение цен (тарифов), дифференцированных по времени суток, выходным и рабочим дням</w:t>
            </w:r>
          </w:p>
        </w:tc>
        <w:tc>
          <w:tcPr>
            <w:tcW w:w="345"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w:t>
            </w:r>
          </w:p>
        </w:tc>
        <w:tc>
          <w:tcPr>
            <w:tcW w:w="883"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ответственный исполнитель - отдел строительства, дорожного хозяйства и жилищно-коммунального хозяйства Управления по благоустройству  и развитию администрации Шумерлинского муниципального округа Чувашской Республики</w:t>
            </w: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всего</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федеральный бюджет</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республиканский бюджет Чувашской Республики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бюджет Шумерлинского муниципального округа</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внебюджетные источники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Мероприятие 4.7</w:t>
            </w:r>
          </w:p>
        </w:tc>
        <w:tc>
          <w:tcPr>
            <w:tcW w:w="554"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Мероприятия по обучению в области </w:t>
            </w:r>
            <w:r w:rsidRPr="00592BA7">
              <w:rPr>
                <w:rFonts w:ascii="Times New Roman" w:hAnsi="Times New Roman" w:cs="Times New Roman"/>
                <w:sz w:val="20"/>
                <w:szCs w:val="20"/>
                <w:lang w:eastAsia="ru-RU"/>
              </w:rPr>
              <w:lastRenderedPageBreak/>
              <w:t>энергосбережения и повышения энергетической эффективности</w:t>
            </w:r>
          </w:p>
        </w:tc>
        <w:tc>
          <w:tcPr>
            <w:tcW w:w="345"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 </w:t>
            </w:r>
          </w:p>
        </w:tc>
        <w:tc>
          <w:tcPr>
            <w:tcW w:w="883"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ответственный исполнитель - отдел строительства, дорожного хозяйства и </w:t>
            </w:r>
            <w:r w:rsidRPr="00592BA7">
              <w:rPr>
                <w:rFonts w:ascii="Times New Roman" w:hAnsi="Times New Roman" w:cs="Times New Roman"/>
                <w:sz w:val="20"/>
                <w:szCs w:val="20"/>
                <w:lang w:eastAsia="ru-RU"/>
              </w:rPr>
              <w:lastRenderedPageBreak/>
              <w:t>жилищно-коммунального хозяйства Управления по благоустройству  и развитию администрации Шумерлинского муниципального округа Чувашской Республики</w:t>
            </w: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х</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всего</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60,0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80,0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федеральны</w:t>
            </w:r>
            <w:r w:rsidRPr="00592BA7">
              <w:rPr>
                <w:rFonts w:ascii="Times New Roman" w:hAnsi="Times New Roman" w:cs="Times New Roman"/>
                <w:sz w:val="20"/>
                <w:szCs w:val="20"/>
                <w:lang w:eastAsia="ru-RU"/>
              </w:rPr>
              <w:lastRenderedPageBreak/>
              <w:t>й бюджет</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республиканский бюджет Чувашской Республики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бюджет Шумерлинского муниципального округа</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0,0 </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60,0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80,0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внебюджетные источники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0,0 </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0,0 </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Мероприятие 4.8</w:t>
            </w:r>
          </w:p>
        </w:tc>
        <w:tc>
          <w:tcPr>
            <w:tcW w:w="554"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Разработка и проведение мероприятий по пропаганде энергосбережения через средства массовой </w:t>
            </w:r>
            <w:r w:rsidRPr="00592BA7">
              <w:rPr>
                <w:rFonts w:ascii="Times New Roman" w:hAnsi="Times New Roman" w:cs="Times New Roman"/>
                <w:sz w:val="20"/>
                <w:szCs w:val="20"/>
                <w:lang w:eastAsia="ru-RU"/>
              </w:rPr>
              <w:lastRenderedPageBreak/>
              <w:t>информации, распространение социальной рекламы в области энергосбережения и повышения энергетической эффективности</w:t>
            </w:r>
          </w:p>
        </w:tc>
        <w:tc>
          <w:tcPr>
            <w:tcW w:w="345"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 </w:t>
            </w:r>
          </w:p>
        </w:tc>
        <w:tc>
          <w:tcPr>
            <w:tcW w:w="883"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ответственный исполнитель - отдел строительства, дорожного хозяйства и жилищно-коммунального хозяйства Управления по благоустройству  и развитию администрации </w:t>
            </w:r>
            <w:r w:rsidRPr="00592BA7">
              <w:rPr>
                <w:rFonts w:ascii="Times New Roman" w:hAnsi="Times New Roman" w:cs="Times New Roman"/>
                <w:sz w:val="20"/>
                <w:szCs w:val="20"/>
                <w:lang w:eastAsia="ru-RU"/>
              </w:rPr>
              <w:lastRenderedPageBreak/>
              <w:t>Шумерлинского муниципального округа Чувашской Республики</w:t>
            </w: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х</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всего</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35,0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40,0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200,0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200,0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федеральный бюджет</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республиканский бюджет </w:t>
            </w:r>
            <w:r w:rsidRPr="00592BA7">
              <w:rPr>
                <w:rFonts w:ascii="Times New Roman" w:hAnsi="Times New Roman" w:cs="Times New Roman"/>
                <w:sz w:val="20"/>
                <w:szCs w:val="20"/>
                <w:lang w:eastAsia="ru-RU"/>
              </w:rPr>
              <w:lastRenderedPageBreak/>
              <w:t>Чувашской Республики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бюджет Шумерлинского муниципального округа</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16,0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80,0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80,0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внебюджетные источники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35,0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24,0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120,0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120,0</w:t>
            </w:r>
          </w:p>
        </w:tc>
      </w:tr>
      <w:tr w:rsidR="00171D1D" w:rsidRPr="00592BA7" w:rsidTr="00592BA7">
        <w:trPr>
          <w:trHeight w:val="255"/>
        </w:trPr>
        <w:tc>
          <w:tcPr>
            <w:tcW w:w="378"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Мероприятие 4.9</w:t>
            </w:r>
          </w:p>
        </w:tc>
        <w:tc>
          <w:tcPr>
            <w:tcW w:w="554"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Установление целевых показателей повышения эффективности использования энергетических ресурсов и воды в жилищном фонде, в том числе мероприятия, направленные на </w:t>
            </w:r>
            <w:r w:rsidRPr="00592BA7">
              <w:rPr>
                <w:rFonts w:ascii="Times New Roman" w:hAnsi="Times New Roman" w:cs="Times New Roman"/>
                <w:sz w:val="20"/>
                <w:szCs w:val="20"/>
                <w:lang w:eastAsia="ru-RU"/>
              </w:rPr>
              <w:lastRenderedPageBreak/>
              <w:t>сбор и анализ информации об энергопотреблении жилых домов</w:t>
            </w:r>
          </w:p>
        </w:tc>
        <w:tc>
          <w:tcPr>
            <w:tcW w:w="345"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 </w:t>
            </w:r>
          </w:p>
        </w:tc>
        <w:tc>
          <w:tcPr>
            <w:tcW w:w="883"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ответственный исполнитель - отдел строительства, дорожного хозяйства и жилищно-коммунального хозяйства Управления по благоустройству  и развитию администрации Шумерлинского муниципального округа Чувашской Республики, участник - управляющие компании, товарищества </w:t>
            </w:r>
            <w:r w:rsidRPr="00592BA7">
              <w:rPr>
                <w:rFonts w:ascii="Times New Roman" w:hAnsi="Times New Roman" w:cs="Times New Roman"/>
                <w:sz w:val="20"/>
                <w:szCs w:val="20"/>
                <w:lang w:eastAsia="ru-RU"/>
              </w:rPr>
              <w:lastRenderedPageBreak/>
              <w:t>собственников жилья и недвижимости</w:t>
            </w: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х</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всего</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федеральный бюджет</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республиканский бюджет Чувашской Республики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бюджет Шумерлинс</w:t>
            </w:r>
            <w:r w:rsidRPr="00592BA7">
              <w:rPr>
                <w:rFonts w:ascii="Times New Roman" w:hAnsi="Times New Roman" w:cs="Times New Roman"/>
                <w:sz w:val="20"/>
                <w:szCs w:val="20"/>
                <w:lang w:eastAsia="ru-RU"/>
              </w:rPr>
              <w:lastRenderedPageBreak/>
              <w:t>кого муниципального округа</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внебюджетные источники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Мероприятие 4.10</w:t>
            </w:r>
          </w:p>
        </w:tc>
        <w:tc>
          <w:tcPr>
            <w:tcW w:w="554"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Определение целевого уровня снижения потребления муниципальными учреждениями суммарного объема потребляемых ими энергетических ресурсов и воды</w:t>
            </w:r>
          </w:p>
        </w:tc>
        <w:tc>
          <w:tcPr>
            <w:tcW w:w="345"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w:t>
            </w:r>
          </w:p>
        </w:tc>
        <w:tc>
          <w:tcPr>
            <w:tcW w:w="883"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ответственный исполнитель - отдел строительства, дорожного хозяйства и жилищно-коммунального хозяйства Управления по благоустройству  и развитию администрации Шумерлинского муниципального округа Чувашской Республики, участник - муниципальные учреждения Шумерлинского муниципального округа Чувашской Республики</w:t>
            </w: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всего</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федеральный бюджет</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республиканский бюджет Чувашской Республики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бюджет Шумерлинского муниципального округа</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внебюджетные источники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Мероприятие 4.11</w:t>
            </w:r>
          </w:p>
        </w:tc>
        <w:tc>
          <w:tcPr>
            <w:tcW w:w="554"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Ранжирование многоквартирных домов по уровню энергоэффективности, выявление многоквартирных домов, требующих реализации первоочередных мер по повышению энергоэффективности</w:t>
            </w:r>
          </w:p>
        </w:tc>
        <w:tc>
          <w:tcPr>
            <w:tcW w:w="345"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w:t>
            </w:r>
          </w:p>
        </w:tc>
        <w:tc>
          <w:tcPr>
            <w:tcW w:w="883"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ответственный исполнитель - отдел строительства, дорожного хозяйства и жилищно-коммунального хозяйства Управления по благоустройству  и развитию администрации Шумерлинского муниципального округа Чувашской Республики, участник - управляющие компании, товарищества собственников жилья и недвижимости</w:t>
            </w: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всего</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федеральный бюджет</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республиканский бюджет Чувашской Республики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бюджет Шумерлинского муниципального округа</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внебюджетные источники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Мероприятие 4.12</w:t>
            </w:r>
          </w:p>
        </w:tc>
        <w:tc>
          <w:tcPr>
            <w:tcW w:w="554"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Распространение информации об установленных законодательством об энергосбережении и повышении энергетической эффективности требованиях, предъявляемых к собственникам жилых домов, собственникам помещений в многоквартирных домах, лицам, ответственным за содержание многоквартирных домов, информирование жителей о возможных </w:t>
            </w:r>
            <w:r w:rsidRPr="00592BA7">
              <w:rPr>
                <w:rFonts w:ascii="Times New Roman" w:hAnsi="Times New Roman" w:cs="Times New Roman"/>
                <w:sz w:val="20"/>
                <w:szCs w:val="20"/>
                <w:lang w:eastAsia="ru-RU"/>
              </w:rPr>
              <w:lastRenderedPageBreak/>
              <w:t>типовых решениях повышения энергетической эффективности и энергосбережения, пропаганду реализации мер, направленных на снижение пикового потребления электрической энергии населением</w:t>
            </w:r>
          </w:p>
        </w:tc>
        <w:tc>
          <w:tcPr>
            <w:tcW w:w="345"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 </w:t>
            </w:r>
          </w:p>
        </w:tc>
        <w:tc>
          <w:tcPr>
            <w:tcW w:w="883"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ответственный исполнитель - отдел строительства, дорожного хозяйства и жилищно-коммунального хозяйства Управления по благоустройству  и развитию администрации Шумерлинского муниципального округа Чувашской Республики</w:t>
            </w: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всего</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50,0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50,0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федеральный бюджет</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республиканский бюджет Чувашской Республики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бюджет Шумерлинского муниципального округа</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50,0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50,0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внебюджетные источники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Мероприятие 4.13</w:t>
            </w:r>
          </w:p>
        </w:tc>
        <w:tc>
          <w:tcPr>
            <w:tcW w:w="554"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Разработка технико-экономических обоснований на внедрение энергосберегающих технологий в целях </w:t>
            </w:r>
            <w:r w:rsidRPr="00592BA7">
              <w:rPr>
                <w:rFonts w:ascii="Times New Roman" w:hAnsi="Times New Roman" w:cs="Times New Roman"/>
                <w:sz w:val="20"/>
                <w:szCs w:val="20"/>
                <w:lang w:eastAsia="ru-RU"/>
              </w:rPr>
              <w:lastRenderedPageBreak/>
              <w:t>привлечения внебюджетного финансирования</w:t>
            </w:r>
          </w:p>
        </w:tc>
        <w:tc>
          <w:tcPr>
            <w:tcW w:w="345"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 </w:t>
            </w:r>
          </w:p>
        </w:tc>
        <w:tc>
          <w:tcPr>
            <w:tcW w:w="883"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ответственный исполнитель - отдел строительства, дорожного хозяйства и жилищно-коммунального хозяйства Управления по благоустройству  и развитию администрации Шумерлинского </w:t>
            </w:r>
            <w:r w:rsidRPr="00592BA7">
              <w:rPr>
                <w:rFonts w:ascii="Times New Roman" w:hAnsi="Times New Roman" w:cs="Times New Roman"/>
                <w:sz w:val="20"/>
                <w:szCs w:val="20"/>
                <w:lang w:eastAsia="ru-RU"/>
              </w:rPr>
              <w:lastRenderedPageBreak/>
              <w:t>муниципального округа Чувашской Республики</w:t>
            </w: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х</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всего</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17,0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22,1</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28,7</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федеральный бюджет</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республиканский бюджет Чувашской </w:t>
            </w:r>
            <w:r w:rsidRPr="00592BA7">
              <w:rPr>
                <w:rFonts w:ascii="Times New Roman" w:hAnsi="Times New Roman" w:cs="Times New Roman"/>
                <w:sz w:val="20"/>
                <w:szCs w:val="20"/>
                <w:lang w:eastAsia="ru-RU"/>
              </w:rPr>
              <w:lastRenderedPageBreak/>
              <w:t>Республики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бюджет Шумерлинского муниципального округа</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внебюджетные источники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17,0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22,1</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28,7</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0,0 </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0,0 </w:t>
            </w:r>
          </w:p>
        </w:tc>
      </w:tr>
      <w:tr w:rsidR="00171D1D" w:rsidRPr="00592BA7" w:rsidTr="00592BA7">
        <w:trPr>
          <w:trHeight w:val="255"/>
        </w:trPr>
        <w:tc>
          <w:tcPr>
            <w:tcW w:w="378"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Мероприятие 4.14</w:t>
            </w:r>
          </w:p>
        </w:tc>
        <w:tc>
          <w:tcPr>
            <w:tcW w:w="554"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Анализ договоров электро-, тепло-, газо- и водоснабжения жилых многоквартирных домов и муниципальных учреждениях на предмет выявления положений договоров, </w:t>
            </w:r>
            <w:r w:rsidRPr="00592BA7">
              <w:rPr>
                <w:rFonts w:ascii="Times New Roman" w:hAnsi="Times New Roman" w:cs="Times New Roman"/>
                <w:sz w:val="20"/>
                <w:szCs w:val="20"/>
                <w:lang w:eastAsia="ru-RU"/>
              </w:rPr>
              <w:lastRenderedPageBreak/>
              <w:t>препятствующих реализации мер по повышению энергетической эффективности</w:t>
            </w:r>
          </w:p>
        </w:tc>
        <w:tc>
          <w:tcPr>
            <w:tcW w:w="345"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 </w:t>
            </w:r>
          </w:p>
        </w:tc>
        <w:tc>
          <w:tcPr>
            <w:tcW w:w="883"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ответственный исполнитель - отдел строительства, дорожного хозяйства и жилищно-коммунального хозяйства Управления по благоустройству  и развитию администрации Шумерлинского муниципального округа Чувашской Республики, участник - управляющие компании, товарищества собственников жилья и </w:t>
            </w:r>
            <w:r w:rsidRPr="00592BA7">
              <w:rPr>
                <w:rFonts w:ascii="Times New Roman" w:hAnsi="Times New Roman" w:cs="Times New Roman"/>
                <w:sz w:val="20"/>
                <w:szCs w:val="20"/>
                <w:lang w:eastAsia="ru-RU"/>
              </w:rPr>
              <w:lastRenderedPageBreak/>
              <w:t>недвижимости</w:t>
            </w: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х</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всего</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федеральный бюджет</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республиканский бюджет Чувашской Республики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бюджет Шумерлинского </w:t>
            </w:r>
            <w:r w:rsidRPr="00592BA7">
              <w:rPr>
                <w:rFonts w:ascii="Times New Roman" w:hAnsi="Times New Roman" w:cs="Times New Roman"/>
                <w:sz w:val="20"/>
                <w:szCs w:val="20"/>
                <w:lang w:eastAsia="ru-RU"/>
              </w:rPr>
              <w:lastRenderedPageBreak/>
              <w:t>муниципального округа</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внебюджетные источники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0,0 </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0,0 </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0,0 </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0,0 </w:t>
            </w:r>
          </w:p>
        </w:tc>
      </w:tr>
      <w:tr w:rsidR="00171D1D" w:rsidRPr="00592BA7" w:rsidTr="00592BA7">
        <w:trPr>
          <w:trHeight w:val="255"/>
        </w:trPr>
        <w:tc>
          <w:tcPr>
            <w:tcW w:w="378"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Основное мероприятие 5</w:t>
            </w:r>
          </w:p>
        </w:tc>
        <w:tc>
          <w:tcPr>
            <w:tcW w:w="554"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Энергосбережение и повышение энергоэффективности в промышленном секторе</w:t>
            </w:r>
          </w:p>
        </w:tc>
        <w:tc>
          <w:tcPr>
            <w:tcW w:w="345"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определение потенциала энергосбережения в промышленном секторе с последующим снижением энергоемкости производимой продукци</w:t>
            </w:r>
            <w:r w:rsidRPr="00592BA7">
              <w:rPr>
                <w:rFonts w:ascii="Times New Roman" w:hAnsi="Times New Roman" w:cs="Times New Roman"/>
                <w:sz w:val="20"/>
                <w:szCs w:val="20"/>
                <w:lang w:eastAsia="ru-RU"/>
              </w:rPr>
              <w:lastRenderedPageBreak/>
              <w:t>и</w:t>
            </w:r>
          </w:p>
        </w:tc>
        <w:tc>
          <w:tcPr>
            <w:tcW w:w="883"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ответственный исполнитель - отдел строительства, дорожного хозяйства и жилищно-коммунального хозяйства Управления по благоустройству  и развитию администрации Шумерлинского муниципального округа Чувашской Республики</w:t>
            </w: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всего</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90,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450,0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360,0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135,0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270,0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федеральный бюджет</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республиканский бюджет Чувашской Республики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бюджет Шумерлинского муниципального округа</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внебюджетные </w:t>
            </w:r>
            <w:r w:rsidRPr="00592BA7">
              <w:rPr>
                <w:rFonts w:ascii="Times New Roman" w:hAnsi="Times New Roman" w:cs="Times New Roman"/>
                <w:sz w:val="20"/>
                <w:szCs w:val="20"/>
                <w:lang w:eastAsia="ru-RU"/>
              </w:rPr>
              <w:lastRenderedPageBreak/>
              <w:t>источники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90,0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450,0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360,0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135,0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270,0</w:t>
            </w:r>
          </w:p>
        </w:tc>
      </w:tr>
      <w:tr w:rsidR="00171D1D" w:rsidRPr="00592BA7" w:rsidTr="00592BA7">
        <w:trPr>
          <w:trHeight w:val="255"/>
        </w:trPr>
        <w:tc>
          <w:tcPr>
            <w:tcW w:w="378"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Целевые показатели (индикаторы) подпрограммы, увязанные с основным мероприятием 5</w:t>
            </w:r>
          </w:p>
        </w:tc>
        <w:tc>
          <w:tcPr>
            <w:tcW w:w="2966" w:type="pct"/>
            <w:gridSpan w:val="9"/>
            <w:tcBorders>
              <w:top w:val="single" w:sz="4" w:space="0" w:color="auto"/>
              <w:left w:val="nil"/>
              <w:bottom w:val="single" w:sz="4" w:space="0" w:color="auto"/>
              <w:right w:val="single" w:sz="4" w:space="0" w:color="000000"/>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Энергоемкость промышленного производства для производства 3 видов продукции, работ (услуг), составляющих основную долю потребления энергетических ресурсов на территории Шумерлинского муниципального округа Чувашской Республики в сфере промышленного производства (зерновые культуры), кг у.т./ед. продукции</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0,01</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0,01</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0,01</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0,01</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0,01</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0,01</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2966" w:type="pct"/>
            <w:gridSpan w:val="9"/>
            <w:tcBorders>
              <w:top w:val="single" w:sz="4" w:space="0" w:color="auto"/>
              <w:left w:val="nil"/>
              <w:bottom w:val="single" w:sz="4" w:space="0" w:color="auto"/>
              <w:right w:val="single" w:sz="4" w:space="0" w:color="000000"/>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Энергоемкость промышленного производства для производства 3 видов продукции, работ (услуг), составляющих основную долю потребления энергетических ресурсов на территории Шумерлинского муниципального округа Чувашской Республики в сфере промышленного производства (хлебная продукция), кг у.т./ед. продукции</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0,035</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0,035</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0,035</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0,033</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0,033</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0,033</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2966" w:type="pct"/>
            <w:gridSpan w:val="9"/>
            <w:tcBorders>
              <w:top w:val="single" w:sz="4" w:space="0" w:color="auto"/>
              <w:left w:val="nil"/>
              <w:bottom w:val="single" w:sz="4" w:space="0" w:color="auto"/>
              <w:right w:val="single" w:sz="4" w:space="0" w:color="000000"/>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Энергоемкость промышленного производства для производства 3 видов продукции, работ (услуг), составляющих основную долю потребления энергетических ресурсов на территории Шумерлинского муниципального округа Чувашской Республики в сфере промышленного производства (животноводство), кг у.т./ед. продукции</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43,607</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43,607</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43,607</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43,607</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41,863</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41,863</w:t>
            </w:r>
          </w:p>
        </w:tc>
      </w:tr>
      <w:tr w:rsidR="00171D1D" w:rsidRPr="00592BA7" w:rsidTr="00592BA7">
        <w:trPr>
          <w:trHeight w:val="255"/>
        </w:trPr>
        <w:tc>
          <w:tcPr>
            <w:tcW w:w="378"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Мероприятие 5.1</w:t>
            </w:r>
          </w:p>
        </w:tc>
        <w:tc>
          <w:tcPr>
            <w:tcW w:w="554"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Проведение энергетических обследований</w:t>
            </w:r>
          </w:p>
        </w:tc>
        <w:tc>
          <w:tcPr>
            <w:tcW w:w="345"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w:t>
            </w:r>
          </w:p>
        </w:tc>
        <w:tc>
          <w:tcPr>
            <w:tcW w:w="883"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ответственный исполнитель - отдел строительства, дорожного хозяйства и жилищно-коммунального хозяйства Управления по благоустройству  и развитию администрации Шумерлинского </w:t>
            </w:r>
            <w:r w:rsidRPr="00592BA7">
              <w:rPr>
                <w:rFonts w:ascii="Times New Roman" w:hAnsi="Times New Roman" w:cs="Times New Roman"/>
                <w:sz w:val="20"/>
                <w:szCs w:val="20"/>
                <w:lang w:eastAsia="ru-RU"/>
              </w:rPr>
              <w:lastRenderedPageBreak/>
              <w:t>муниципального округа Чувашской Республики</w:t>
            </w:r>
          </w:p>
        </w:tc>
        <w:tc>
          <w:tcPr>
            <w:tcW w:w="353" w:type="pct"/>
            <w:gridSpan w:val="2"/>
            <w:tcBorders>
              <w:top w:val="nil"/>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х</w:t>
            </w:r>
          </w:p>
        </w:tc>
        <w:tc>
          <w:tcPr>
            <w:tcW w:w="265" w:type="pct"/>
            <w:gridSpan w:val="2"/>
            <w:tcBorders>
              <w:top w:val="nil"/>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72" w:type="pct"/>
            <w:tcBorders>
              <w:top w:val="nil"/>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94" w:type="pct"/>
            <w:tcBorders>
              <w:top w:val="nil"/>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всего</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90,0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90,0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90,0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270,0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федеральный бюджет</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республиканский бюджет Чувашской </w:t>
            </w:r>
            <w:r w:rsidRPr="00592BA7">
              <w:rPr>
                <w:rFonts w:ascii="Times New Roman" w:hAnsi="Times New Roman" w:cs="Times New Roman"/>
                <w:sz w:val="20"/>
                <w:szCs w:val="20"/>
                <w:lang w:eastAsia="ru-RU"/>
              </w:rPr>
              <w:lastRenderedPageBreak/>
              <w:t>Республики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бюджет Шумерлинского муниципального округа</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внебюджетные источники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90,0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90,0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90,0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270,0</w:t>
            </w:r>
          </w:p>
        </w:tc>
      </w:tr>
      <w:tr w:rsidR="00171D1D" w:rsidRPr="00592BA7" w:rsidTr="00592BA7">
        <w:trPr>
          <w:trHeight w:val="255"/>
        </w:trPr>
        <w:tc>
          <w:tcPr>
            <w:tcW w:w="378"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Мероприятие 5.2</w:t>
            </w:r>
          </w:p>
        </w:tc>
        <w:tc>
          <w:tcPr>
            <w:tcW w:w="554"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Мероприятия по энергосбережению и повышению энергетической эффективности разработанные на основании проведенных энергетических обследований</w:t>
            </w:r>
          </w:p>
        </w:tc>
        <w:tc>
          <w:tcPr>
            <w:tcW w:w="345"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w:t>
            </w:r>
          </w:p>
        </w:tc>
        <w:tc>
          <w:tcPr>
            <w:tcW w:w="883"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ответственный исполнитель - отдел строительства, дорожного хозяйства и жилищно-коммунального хозяйства Управления по благоустройству  и развитию администрации Шумерлинского муниципального округа Чувашской Республики</w:t>
            </w: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всего</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360,0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270,0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135,0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федеральный бюджет</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республиканский бюджет Чувашской Республики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бюджет Шумерлинского </w:t>
            </w:r>
            <w:r w:rsidRPr="00592BA7">
              <w:rPr>
                <w:rFonts w:ascii="Times New Roman" w:hAnsi="Times New Roman" w:cs="Times New Roman"/>
                <w:sz w:val="20"/>
                <w:szCs w:val="20"/>
                <w:lang w:eastAsia="ru-RU"/>
              </w:rPr>
              <w:lastRenderedPageBreak/>
              <w:t>муниципального округа</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внебюджетные источники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360,0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270,0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135,0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r>
      <w:tr w:rsidR="00171D1D" w:rsidRPr="00592BA7" w:rsidTr="00592BA7">
        <w:trPr>
          <w:trHeight w:val="255"/>
        </w:trPr>
        <w:tc>
          <w:tcPr>
            <w:tcW w:w="378"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Основное мероприятие 6</w:t>
            </w:r>
          </w:p>
        </w:tc>
        <w:tc>
          <w:tcPr>
            <w:tcW w:w="554"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Внедрение технологий, использующих возобновляемые источники энергии и вторичные энергетические ресурсы</w:t>
            </w:r>
          </w:p>
        </w:tc>
        <w:tc>
          <w:tcPr>
            <w:tcW w:w="345"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увеличение использования в качестве источников энергии вторичных энергетических ресурсов и (или) возобновляемых источнико</w:t>
            </w:r>
            <w:r w:rsidRPr="00592BA7">
              <w:rPr>
                <w:rFonts w:ascii="Times New Roman" w:hAnsi="Times New Roman" w:cs="Times New Roman"/>
                <w:sz w:val="20"/>
                <w:szCs w:val="20"/>
                <w:lang w:eastAsia="ru-RU"/>
              </w:rPr>
              <w:lastRenderedPageBreak/>
              <w:t>в энергии</w:t>
            </w:r>
          </w:p>
        </w:tc>
        <w:tc>
          <w:tcPr>
            <w:tcW w:w="883"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ответственный исполнитель - отдел строительства, дорожного хозяйства и жилищно-коммунального хозяйства Управления по благоустройству  и развитию администрации Шумерлинского муниципального округа Чувашской Республики</w:t>
            </w: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всего</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11000,0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федеральный бюджет</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республиканский бюджет Чувашской Республики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бюджет Шумерлинского муниципального округа</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внебюджетные источники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11000,0</w:t>
            </w:r>
          </w:p>
        </w:tc>
      </w:tr>
      <w:tr w:rsidR="00171D1D" w:rsidRPr="00592BA7" w:rsidTr="00592BA7">
        <w:trPr>
          <w:trHeight w:val="255"/>
        </w:trPr>
        <w:tc>
          <w:tcPr>
            <w:tcW w:w="378"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Целевые показатели (индикаторы) подпрограммы, увязанные с основным мероприятием 6</w:t>
            </w:r>
          </w:p>
        </w:tc>
        <w:tc>
          <w:tcPr>
            <w:tcW w:w="2966" w:type="pct"/>
            <w:gridSpan w:val="9"/>
            <w:tcBorders>
              <w:top w:val="single" w:sz="4" w:space="0" w:color="auto"/>
              <w:left w:val="nil"/>
              <w:bottom w:val="single" w:sz="4" w:space="0" w:color="auto"/>
              <w:right w:val="single" w:sz="4" w:space="0" w:color="000000"/>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Доля объема энергетических ресурсов (электрической энергии), производимых с использованием возобновляемых источников энергии и (или) вторичных энергетических ресурсов, в общем объеме энергетических ресурсов, производимых на территории Шумерлинского муниципального округа Чувашской Республики, %</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2966" w:type="pct"/>
            <w:gridSpan w:val="9"/>
            <w:tcBorders>
              <w:top w:val="single" w:sz="4" w:space="0" w:color="auto"/>
              <w:left w:val="nil"/>
              <w:bottom w:val="single" w:sz="4" w:space="0" w:color="auto"/>
              <w:right w:val="single" w:sz="4" w:space="0" w:color="000000"/>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Ввод мощностей генерирующих объектов, функционирующих на основе использования возобновляемых источников энергии, на территории Шумерлинского муниципального округа Чувашской Республики (без учета гидроэлектростанций установленной мощностью свыше 25 МВт), МВт</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w:t>
            </w:r>
          </w:p>
        </w:tc>
      </w:tr>
      <w:tr w:rsidR="00171D1D" w:rsidRPr="00592BA7" w:rsidTr="00592BA7">
        <w:trPr>
          <w:trHeight w:val="255"/>
        </w:trPr>
        <w:tc>
          <w:tcPr>
            <w:tcW w:w="378"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Мероприятие 6.1</w:t>
            </w:r>
          </w:p>
        </w:tc>
        <w:tc>
          <w:tcPr>
            <w:tcW w:w="554"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Внедрение/реконсервация возобновляемых источников энергии</w:t>
            </w:r>
          </w:p>
        </w:tc>
        <w:tc>
          <w:tcPr>
            <w:tcW w:w="345"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w:t>
            </w:r>
          </w:p>
        </w:tc>
        <w:tc>
          <w:tcPr>
            <w:tcW w:w="883"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ответственный исполнитель - отдел строительства, дорожного хозяйства и жилищно-коммунального хозяйства Управления по благоустройству  и развитию администрации Шумерлинского муниципального округа </w:t>
            </w:r>
            <w:r w:rsidRPr="00592BA7">
              <w:rPr>
                <w:rFonts w:ascii="Times New Roman" w:hAnsi="Times New Roman" w:cs="Times New Roman"/>
                <w:sz w:val="20"/>
                <w:szCs w:val="20"/>
                <w:lang w:eastAsia="ru-RU"/>
              </w:rPr>
              <w:lastRenderedPageBreak/>
              <w:t>Чувашской Республики</w:t>
            </w:r>
          </w:p>
        </w:tc>
        <w:tc>
          <w:tcPr>
            <w:tcW w:w="353" w:type="pct"/>
            <w:gridSpan w:val="2"/>
            <w:tcBorders>
              <w:top w:val="nil"/>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х</w:t>
            </w:r>
          </w:p>
        </w:tc>
        <w:tc>
          <w:tcPr>
            <w:tcW w:w="265" w:type="pct"/>
            <w:gridSpan w:val="2"/>
            <w:tcBorders>
              <w:top w:val="nil"/>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72" w:type="pct"/>
            <w:tcBorders>
              <w:top w:val="nil"/>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94" w:type="pct"/>
            <w:tcBorders>
              <w:top w:val="nil"/>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всего</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7000,0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федеральный бюджет</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республиканский бюджет Чувашской </w:t>
            </w:r>
            <w:r w:rsidRPr="00592BA7">
              <w:rPr>
                <w:rFonts w:ascii="Times New Roman" w:hAnsi="Times New Roman" w:cs="Times New Roman"/>
                <w:sz w:val="20"/>
                <w:szCs w:val="20"/>
                <w:lang w:eastAsia="ru-RU"/>
              </w:rPr>
              <w:lastRenderedPageBreak/>
              <w:t>Республики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бюджет Шумерлинского муниципального округа</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внебюджетные источники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7000,0</w:t>
            </w:r>
          </w:p>
        </w:tc>
      </w:tr>
      <w:tr w:rsidR="00171D1D" w:rsidRPr="00592BA7" w:rsidTr="00592BA7">
        <w:trPr>
          <w:trHeight w:val="255"/>
        </w:trPr>
        <w:tc>
          <w:tcPr>
            <w:tcW w:w="378"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Мероприятие 6.2</w:t>
            </w:r>
          </w:p>
        </w:tc>
        <w:tc>
          <w:tcPr>
            <w:tcW w:w="554"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Использования биомассы, отходов лесопромышленного и агропромышленного комплексов, бытовых отходов, шахтного метана, биогаза для производства электрической и </w:t>
            </w:r>
            <w:r w:rsidRPr="00592BA7">
              <w:rPr>
                <w:rFonts w:ascii="Times New Roman" w:hAnsi="Times New Roman" w:cs="Times New Roman"/>
                <w:sz w:val="20"/>
                <w:szCs w:val="20"/>
                <w:lang w:eastAsia="ru-RU"/>
              </w:rPr>
              <w:lastRenderedPageBreak/>
              <w:t>тепловой энергии</w:t>
            </w:r>
          </w:p>
        </w:tc>
        <w:tc>
          <w:tcPr>
            <w:tcW w:w="345"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 </w:t>
            </w:r>
          </w:p>
        </w:tc>
        <w:tc>
          <w:tcPr>
            <w:tcW w:w="883"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ответственный исполнитель - отдел строительства, дорожного хозяйства и жилищно-коммунального хозяйства Управления по благоустройству  и развитию администрации Шумерлинского муниципального округа Чувашской Республики</w:t>
            </w: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всего</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4000,0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федеральный бюджет</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республиканский бюджет Чувашской Республики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бюджет Шумерлинс</w:t>
            </w:r>
            <w:r w:rsidRPr="00592BA7">
              <w:rPr>
                <w:rFonts w:ascii="Times New Roman" w:hAnsi="Times New Roman" w:cs="Times New Roman"/>
                <w:sz w:val="20"/>
                <w:szCs w:val="20"/>
                <w:lang w:eastAsia="ru-RU"/>
              </w:rPr>
              <w:lastRenderedPageBreak/>
              <w:t>кого муниципального округа</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внебюджетные источники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0,0 </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4000,0</w:t>
            </w:r>
          </w:p>
        </w:tc>
      </w:tr>
      <w:tr w:rsidR="00171D1D" w:rsidRPr="00592BA7" w:rsidTr="00592BA7">
        <w:trPr>
          <w:trHeight w:val="255"/>
        </w:trPr>
        <w:tc>
          <w:tcPr>
            <w:tcW w:w="378"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Основное мероприятие 7</w:t>
            </w:r>
          </w:p>
        </w:tc>
        <w:tc>
          <w:tcPr>
            <w:tcW w:w="554"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Увеличение использования энергоэффективных источников наружного освещения</w:t>
            </w:r>
          </w:p>
        </w:tc>
        <w:tc>
          <w:tcPr>
            <w:tcW w:w="345"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снижение затрат электрической энергии на уличное освещение путем внедрения энергоэффективных источников освещени</w:t>
            </w:r>
            <w:r w:rsidRPr="00592BA7">
              <w:rPr>
                <w:rFonts w:ascii="Times New Roman" w:hAnsi="Times New Roman" w:cs="Times New Roman"/>
                <w:sz w:val="20"/>
                <w:szCs w:val="20"/>
                <w:lang w:eastAsia="ru-RU"/>
              </w:rPr>
              <w:lastRenderedPageBreak/>
              <w:t>я</w:t>
            </w:r>
          </w:p>
        </w:tc>
        <w:tc>
          <w:tcPr>
            <w:tcW w:w="883"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ответственный исполнитель - отдел строительства, дорожного хозяйства и жилищно-коммунального хозяйства Управления по благоустройству  и развитию администрации Шумерлинского муниципального округа Чувашской Республики, участник - территориальные отделы Шумерлинского муниципального округа Чувашской Республики</w:t>
            </w: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всего</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9,0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9,0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45,0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45,0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федеральный бюджет</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республиканский бюджет Чувашской Республики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бюджет Шумерлинского муниципального округа</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внебюджетные источники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9,0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9,0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45,0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45,0</w:t>
            </w:r>
          </w:p>
        </w:tc>
      </w:tr>
      <w:tr w:rsidR="00171D1D" w:rsidRPr="00592BA7" w:rsidTr="00592BA7">
        <w:trPr>
          <w:trHeight w:val="255"/>
        </w:trPr>
        <w:tc>
          <w:tcPr>
            <w:tcW w:w="378" w:type="pct"/>
            <w:tcBorders>
              <w:top w:val="nil"/>
              <w:left w:val="single" w:sz="4" w:space="0" w:color="auto"/>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Целевые показатели (индикаторы) подпрограммы, увязанные с основным мероприятием 7</w:t>
            </w:r>
          </w:p>
        </w:tc>
        <w:tc>
          <w:tcPr>
            <w:tcW w:w="2966" w:type="pct"/>
            <w:gridSpan w:val="9"/>
            <w:tcBorders>
              <w:top w:val="single" w:sz="4" w:space="0" w:color="auto"/>
              <w:left w:val="nil"/>
              <w:bottom w:val="single" w:sz="4" w:space="0" w:color="auto"/>
              <w:right w:val="single" w:sz="4" w:space="0" w:color="000000"/>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Доля энергоэффективных источников света в системах уличного освещения на территории Шумерлинского муниципального округа Чувашской Республики, %</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99,2</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99,2</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99,3</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99,4</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99,7</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100</w:t>
            </w:r>
          </w:p>
        </w:tc>
      </w:tr>
      <w:tr w:rsidR="00171D1D" w:rsidRPr="00592BA7" w:rsidTr="00592BA7">
        <w:trPr>
          <w:trHeight w:val="255"/>
        </w:trPr>
        <w:tc>
          <w:tcPr>
            <w:tcW w:w="378"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Мероприятие 7.1</w:t>
            </w:r>
          </w:p>
        </w:tc>
        <w:tc>
          <w:tcPr>
            <w:tcW w:w="554"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Внедрение энергоэффективных источников освещения в системах уличного освещения</w:t>
            </w:r>
          </w:p>
        </w:tc>
        <w:tc>
          <w:tcPr>
            <w:tcW w:w="345"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w:t>
            </w:r>
          </w:p>
        </w:tc>
        <w:tc>
          <w:tcPr>
            <w:tcW w:w="883"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ответственный исполнитель - отдел строительства, дорожного хозяйства и жилищно-коммунального хозяйства Управления по благоустройству  и развитию администрации Шумерлинского </w:t>
            </w:r>
            <w:r w:rsidRPr="00592BA7">
              <w:rPr>
                <w:rFonts w:ascii="Times New Roman" w:hAnsi="Times New Roman" w:cs="Times New Roman"/>
                <w:sz w:val="20"/>
                <w:szCs w:val="20"/>
                <w:lang w:eastAsia="ru-RU"/>
              </w:rPr>
              <w:lastRenderedPageBreak/>
              <w:t>муниципального округа Чувашской Республики, участник - территориальные отделы Шумерлинского муниципального округа Чувашской Республики</w:t>
            </w:r>
          </w:p>
        </w:tc>
        <w:tc>
          <w:tcPr>
            <w:tcW w:w="353" w:type="pct"/>
            <w:gridSpan w:val="2"/>
            <w:tcBorders>
              <w:top w:val="nil"/>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х</w:t>
            </w:r>
          </w:p>
        </w:tc>
        <w:tc>
          <w:tcPr>
            <w:tcW w:w="265" w:type="pct"/>
            <w:gridSpan w:val="2"/>
            <w:tcBorders>
              <w:top w:val="nil"/>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72" w:type="pct"/>
            <w:tcBorders>
              <w:top w:val="nil"/>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94" w:type="pct"/>
            <w:tcBorders>
              <w:top w:val="nil"/>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всего</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9,0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9,0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45,0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45,0</w:t>
            </w:r>
          </w:p>
        </w:tc>
      </w:tr>
      <w:tr w:rsidR="00171D1D" w:rsidRPr="00592BA7" w:rsidTr="00592BA7">
        <w:trPr>
          <w:trHeight w:val="255"/>
        </w:trPr>
        <w:tc>
          <w:tcPr>
            <w:tcW w:w="378" w:type="pct"/>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федеральный бюджет</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республиканский бюджет Чувашской </w:t>
            </w:r>
            <w:r w:rsidRPr="00592BA7">
              <w:rPr>
                <w:rFonts w:ascii="Times New Roman" w:hAnsi="Times New Roman" w:cs="Times New Roman"/>
                <w:sz w:val="20"/>
                <w:szCs w:val="20"/>
                <w:lang w:eastAsia="ru-RU"/>
              </w:rPr>
              <w:lastRenderedPageBreak/>
              <w:t>Республики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бюджет Шумерлинского муниципального округа</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внебюджетные источники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0,0 </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9,0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9,0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45,0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45,0</w:t>
            </w:r>
          </w:p>
        </w:tc>
      </w:tr>
      <w:tr w:rsidR="00171D1D" w:rsidRPr="00592BA7" w:rsidTr="00592BA7">
        <w:trPr>
          <w:trHeight w:val="255"/>
        </w:trPr>
        <w:tc>
          <w:tcPr>
            <w:tcW w:w="378"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Основное мероприятие 8</w:t>
            </w:r>
          </w:p>
        </w:tc>
        <w:tc>
          <w:tcPr>
            <w:tcW w:w="554"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Энергосбережение и повышение энергоэффективности в транспортном комплексе</w:t>
            </w:r>
          </w:p>
        </w:tc>
        <w:tc>
          <w:tcPr>
            <w:tcW w:w="345"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создание благоприятных условий для замещения части потребляемого моторного топлива (бензина и дизельног</w:t>
            </w:r>
            <w:r w:rsidRPr="00592BA7">
              <w:rPr>
                <w:rFonts w:ascii="Times New Roman" w:hAnsi="Times New Roman" w:cs="Times New Roman"/>
                <w:sz w:val="20"/>
                <w:szCs w:val="20"/>
                <w:lang w:eastAsia="ru-RU"/>
              </w:rPr>
              <w:lastRenderedPageBreak/>
              <w:t>о топлива), используемого транспортными средствами, альтернативными видами моторного топлива</w:t>
            </w:r>
          </w:p>
        </w:tc>
        <w:tc>
          <w:tcPr>
            <w:tcW w:w="883"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 xml:space="preserve">ответственный исполнитель - отдел строительства, дорожного хозяйства и жилищно-коммунального хозяйства Управления по благоустройству  и развитию администрации Шумерлинского муниципального округа Чувашской Республики, участники - территориальные отделы Шумерлинского муниципального округа </w:t>
            </w:r>
            <w:r w:rsidRPr="00592BA7">
              <w:rPr>
                <w:rFonts w:ascii="Times New Roman" w:hAnsi="Times New Roman" w:cs="Times New Roman"/>
                <w:sz w:val="20"/>
                <w:szCs w:val="20"/>
                <w:lang w:eastAsia="ru-RU"/>
              </w:rPr>
              <w:lastRenderedPageBreak/>
              <w:t>Чувашской Республики, муниципальные учреждения Шумерлинского муниципального округа Чувашской Республики</w:t>
            </w: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х</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всего</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28,0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28,0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28,0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5084,0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56,0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федеральный бюджет</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республиканский бюджет Чувашской Республики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бюджет Шумерлинс</w:t>
            </w:r>
            <w:r w:rsidRPr="00592BA7">
              <w:rPr>
                <w:rFonts w:ascii="Times New Roman" w:hAnsi="Times New Roman" w:cs="Times New Roman"/>
                <w:sz w:val="20"/>
                <w:szCs w:val="20"/>
                <w:lang w:eastAsia="ru-RU"/>
              </w:rPr>
              <w:lastRenderedPageBreak/>
              <w:t>кого муниципального округа</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8,0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25,0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17,0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внебюджетные источники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28,0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28,0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5059,0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39,0</w:t>
            </w:r>
          </w:p>
        </w:tc>
      </w:tr>
      <w:tr w:rsidR="00171D1D" w:rsidRPr="00592BA7" w:rsidTr="00592BA7">
        <w:trPr>
          <w:trHeight w:val="255"/>
        </w:trPr>
        <w:tc>
          <w:tcPr>
            <w:tcW w:w="378"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Целевые показатели (индикаторы) подпрограммы, увязанные с основным мероприяти</w:t>
            </w:r>
            <w:r w:rsidRPr="00592BA7">
              <w:rPr>
                <w:rFonts w:ascii="Times New Roman" w:hAnsi="Times New Roman" w:cs="Times New Roman"/>
                <w:sz w:val="20"/>
                <w:szCs w:val="20"/>
                <w:lang w:eastAsia="ru-RU"/>
              </w:rPr>
              <w:lastRenderedPageBreak/>
              <w:t>ем 8</w:t>
            </w:r>
          </w:p>
        </w:tc>
        <w:tc>
          <w:tcPr>
            <w:tcW w:w="2966" w:type="pct"/>
            <w:gridSpan w:val="9"/>
            <w:tcBorders>
              <w:top w:val="single" w:sz="4" w:space="0" w:color="auto"/>
              <w:left w:val="nil"/>
              <w:bottom w:val="single" w:sz="4" w:space="0" w:color="auto"/>
              <w:right w:val="single" w:sz="4" w:space="0" w:color="000000"/>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Количество транспортных средств, относящихся к общественному транспорту, регулирование тарифов на услуги по перевозке на котором осуществляется в Шумерлинском муниципальном округе Чувашской Республики, в отношении которых проведены мероприятия по энергосбережению и повышению энергетической эффективности, в том числе по замещению бензина и дизельного топлива, используемых транспортными средствами в качестве моторного топлива, природным газом, газовыми смесями, сжиженным углеводородным газом, используемыми в качестве моторного топлива, и электрической энергией, ед.</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2966" w:type="pct"/>
            <w:gridSpan w:val="9"/>
            <w:tcBorders>
              <w:top w:val="single" w:sz="4" w:space="0" w:color="auto"/>
              <w:left w:val="nil"/>
              <w:bottom w:val="single" w:sz="4" w:space="0" w:color="auto"/>
              <w:right w:val="single" w:sz="4" w:space="0" w:color="000000"/>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Количество транспортных средств с автономным источником электрического питания, относящихся к общественному транспорту, регулирование тарифов на услуги по перевозке на котором осуществляется в Шумерлинском муниципальном округе Чувашской Республики, ед.</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2966" w:type="pct"/>
            <w:gridSpan w:val="9"/>
            <w:tcBorders>
              <w:top w:val="single" w:sz="4" w:space="0" w:color="auto"/>
              <w:left w:val="nil"/>
              <w:bottom w:val="single" w:sz="4" w:space="0" w:color="auto"/>
              <w:right w:val="single" w:sz="4" w:space="0" w:color="000000"/>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Количество транспортных средств, используемых органами муниципальной власти, государственными учреждениями и государственными унитарными предприятиями Шумерлинского муниципального округа Чувашской Республики, в отношении которых проведены мероприятия по энергосбережению и повышению энергетической эффективности, в том числе по замещению бензина и дизельного топлива, используемых транспортными средствами в качестве моторного топлива, природным газом, газовыми смесями и сжиженным углеводородным газом, используемыми в качестве моторного топлива, ед.</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4</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5</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8</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2966" w:type="pct"/>
            <w:gridSpan w:val="9"/>
            <w:tcBorders>
              <w:top w:val="single" w:sz="4" w:space="0" w:color="auto"/>
              <w:left w:val="nil"/>
              <w:bottom w:val="single" w:sz="4" w:space="0" w:color="auto"/>
              <w:right w:val="single" w:sz="4" w:space="0" w:color="000000"/>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Количество транспортных средств с автономным источником электрического питания, используемых органами муниципальной власти, государственными учреждениями и государственными унитарными предприятиями Шумерлинского муниципального округа Чувашской Республики, ед.</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2966" w:type="pct"/>
            <w:gridSpan w:val="9"/>
            <w:tcBorders>
              <w:top w:val="single" w:sz="4" w:space="0" w:color="auto"/>
              <w:left w:val="nil"/>
              <w:bottom w:val="single" w:sz="4" w:space="0" w:color="auto"/>
              <w:right w:val="single" w:sz="4" w:space="0" w:color="000000"/>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Количество электромобилей легковых с автономным источником электрического питания, зарегистрированных на территории Шумерлинского муниципального округа Чувашской Республики, ед.</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4</w:t>
            </w:r>
          </w:p>
        </w:tc>
      </w:tr>
      <w:tr w:rsidR="00171D1D" w:rsidRPr="00592BA7" w:rsidTr="00592BA7">
        <w:trPr>
          <w:trHeight w:val="255"/>
        </w:trPr>
        <w:tc>
          <w:tcPr>
            <w:tcW w:w="378"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Мероприятие 8.1</w:t>
            </w:r>
          </w:p>
        </w:tc>
        <w:tc>
          <w:tcPr>
            <w:tcW w:w="554"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Мероприятия по замещению бензина и дизельного топлива, используемых транспортными средствами в качестве моторного </w:t>
            </w:r>
            <w:r w:rsidRPr="00592BA7">
              <w:rPr>
                <w:rFonts w:ascii="Times New Roman" w:hAnsi="Times New Roman" w:cs="Times New Roman"/>
                <w:sz w:val="20"/>
                <w:szCs w:val="20"/>
                <w:lang w:eastAsia="ru-RU"/>
              </w:rPr>
              <w:lastRenderedPageBreak/>
              <w:t>топлива, альтернативными видами моторного топлива - природным газом, газовыми смесями, сжиженным углеводородным газом, электрической энергией, иными альтернативными видами моторного топлива с учетом доступности использования</w:t>
            </w:r>
          </w:p>
        </w:tc>
        <w:tc>
          <w:tcPr>
            <w:tcW w:w="345"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 </w:t>
            </w:r>
          </w:p>
        </w:tc>
        <w:tc>
          <w:tcPr>
            <w:tcW w:w="883"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ответственный исполнитель - отдел строительства, дорожного хозяйства и жилищно-коммунального хозяйства Управления по благоустройству  и развитию администрации Шумерлинского муниципального округа Чувашской Республики, </w:t>
            </w:r>
            <w:r w:rsidRPr="00592BA7">
              <w:rPr>
                <w:rFonts w:ascii="Times New Roman" w:hAnsi="Times New Roman" w:cs="Times New Roman"/>
                <w:sz w:val="20"/>
                <w:szCs w:val="20"/>
                <w:lang w:eastAsia="ru-RU"/>
              </w:rPr>
              <w:lastRenderedPageBreak/>
              <w:t>участники - территориальные отделы Шумерлинского муниципального округа Чувашской Республики, муниципальные учреждения Шумерлинского муниципального округа Чувашской Республики</w:t>
            </w:r>
          </w:p>
        </w:tc>
        <w:tc>
          <w:tcPr>
            <w:tcW w:w="353" w:type="pct"/>
            <w:gridSpan w:val="2"/>
            <w:tcBorders>
              <w:top w:val="nil"/>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х</w:t>
            </w:r>
          </w:p>
        </w:tc>
        <w:tc>
          <w:tcPr>
            <w:tcW w:w="265" w:type="pct"/>
            <w:gridSpan w:val="2"/>
            <w:tcBorders>
              <w:top w:val="nil"/>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72" w:type="pct"/>
            <w:tcBorders>
              <w:top w:val="nil"/>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94" w:type="pct"/>
            <w:tcBorders>
              <w:top w:val="nil"/>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всего</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28,0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28,0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28,0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84,0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56,0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федеральный бюджет</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республиканский бюджет Чувашской Республики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бюджет Шумерлинского муниципального округа</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8,0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25,0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17,0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внебюджетные источники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28,0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28,0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59,0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39,0</w:t>
            </w:r>
          </w:p>
        </w:tc>
      </w:tr>
      <w:tr w:rsidR="00171D1D" w:rsidRPr="00592BA7" w:rsidTr="00592BA7">
        <w:trPr>
          <w:trHeight w:val="255"/>
        </w:trPr>
        <w:tc>
          <w:tcPr>
            <w:tcW w:w="378"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Мероприятие 8.2</w:t>
            </w:r>
          </w:p>
        </w:tc>
        <w:tc>
          <w:tcPr>
            <w:tcW w:w="554"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Строительство автомобильных газовых наполнительных компрессорных </w:t>
            </w:r>
            <w:r w:rsidRPr="00592BA7">
              <w:rPr>
                <w:rFonts w:ascii="Times New Roman" w:hAnsi="Times New Roman" w:cs="Times New Roman"/>
                <w:sz w:val="20"/>
                <w:szCs w:val="20"/>
                <w:lang w:eastAsia="ru-RU"/>
              </w:rPr>
              <w:lastRenderedPageBreak/>
              <w:t>станций</w:t>
            </w:r>
          </w:p>
        </w:tc>
        <w:tc>
          <w:tcPr>
            <w:tcW w:w="345"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 </w:t>
            </w:r>
          </w:p>
        </w:tc>
        <w:tc>
          <w:tcPr>
            <w:tcW w:w="883"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ответственный исполнитель - отдел строительства, дорожного хозяйства и жилищно-коммунального хозяйства Управления по благоустройству  и развитию </w:t>
            </w:r>
            <w:r w:rsidRPr="00592BA7">
              <w:rPr>
                <w:rFonts w:ascii="Times New Roman" w:hAnsi="Times New Roman" w:cs="Times New Roman"/>
                <w:sz w:val="20"/>
                <w:szCs w:val="20"/>
                <w:lang w:eastAsia="ru-RU"/>
              </w:rPr>
              <w:lastRenderedPageBreak/>
              <w:t>администрации Шумерлинского муниципального округа Чувашской Республики</w:t>
            </w: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х</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всего</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федеральный бюджет</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республиканский </w:t>
            </w:r>
            <w:r w:rsidRPr="00592BA7">
              <w:rPr>
                <w:rFonts w:ascii="Times New Roman" w:hAnsi="Times New Roman" w:cs="Times New Roman"/>
                <w:sz w:val="20"/>
                <w:szCs w:val="20"/>
                <w:lang w:eastAsia="ru-RU"/>
              </w:rPr>
              <w:lastRenderedPageBreak/>
              <w:t>бюджет Чувашской Республики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бюджет Шумерлинского муниципального округа</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внебюджетные источники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Мероприятие 8.3</w:t>
            </w:r>
          </w:p>
        </w:tc>
        <w:tc>
          <w:tcPr>
            <w:tcW w:w="554"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Строительство автомобильных станций для зарядки автотранспортных средств с автономным источником электрического питания</w:t>
            </w:r>
          </w:p>
        </w:tc>
        <w:tc>
          <w:tcPr>
            <w:tcW w:w="345"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w:t>
            </w:r>
          </w:p>
        </w:tc>
        <w:tc>
          <w:tcPr>
            <w:tcW w:w="883"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ответственный исполнитель - отдел строительства, дорожного хозяйства и жилищно-коммунального хозяйства Управления по благоустройству  и развитию администрации Шумерлинского муниципального округа Чувашской Республики</w:t>
            </w: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всего</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5000,0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федеральный бюджет</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0,0 </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0,0 </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0,0 </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0,0 </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республиканский бюджет Чувашской Республики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бюджет Шумерлинского муниципального округа</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внебюджетные источники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5000,0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bl>
    <w:p w:rsidR="00171D1D" w:rsidRPr="00592BA7" w:rsidRDefault="00171D1D" w:rsidP="00592BA7">
      <w:pPr>
        <w:jc w:val="both"/>
        <w:rPr>
          <w:rFonts w:ascii="Times New Roman" w:hAnsi="Times New Roman" w:cs="Times New Roman"/>
          <w:sz w:val="20"/>
          <w:szCs w:val="20"/>
        </w:rPr>
      </w:pPr>
    </w:p>
    <w:p w:rsidR="00171D1D" w:rsidRPr="00592BA7" w:rsidRDefault="00171D1D" w:rsidP="00592BA7">
      <w:pPr>
        <w:jc w:val="both"/>
        <w:rPr>
          <w:rFonts w:ascii="Times New Roman" w:hAnsi="Times New Roman" w:cs="Times New Roman"/>
          <w:sz w:val="20"/>
          <w:szCs w:val="20"/>
        </w:rPr>
      </w:pPr>
    </w:p>
    <w:p w:rsidR="00171D1D" w:rsidRPr="00592BA7" w:rsidRDefault="00171D1D" w:rsidP="00592BA7">
      <w:pPr>
        <w:jc w:val="both"/>
        <w:rPr>
          <w:rFonts w:ascii="Times New Roman" w:hAnsi="Times New Roman" w:cs="Times New Roman"/>
          <w:sz w:val="20"/>
          <w:szCs w:val="20"/>
        </w:rPr>
        <w:sectPr w:rsidR="00171D1D" w:rsidRPr="00592BA7" w:rsidSect="00592BA7">
          <w:pgSz w:w="16838" w:h="11906" w:orient="landscape"/>
          <w:pgMar w:top="1418" w:right="1134" w:bottom="851" w:left="1134" w:header="709" w:footer="459" w:gutter="0"/>
          <w:cols w:space="708"/>
          <w:titlePg/>
          <w:docGrid w:linePitch="360"/>
        </w:sectPr>
      </w:pP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13.2. Величина изменения совокупных эксплуатационных затрат</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В данном подразделе приведены ожидаемые эффекты от реализации предложенных Программой проектов в системах коммунальной инфраструктуры для основных организаций, осуществляющих деятельность в сфере ресурсоснабжения.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В результате проведенных расчетов определено изменение себестоимости производства ресурса и, как следствие, изменение тарифа за счет снижения эксплуатационных затрат, а также денежные потоки организации, прогнозируемые на весь период действия Программы.</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Источниками информации о структуре себестоимости производимых коммунальных ресурсов являются сведения, опубликованные ресурсоснабжающими организациями в соответствии с федеральным и/или региональным законодательством в области раскрытия информации о деятельности организаций, осуществляющих реализацию товаров (услуг) по регулируемым ценам, а также в соответствии с правилами раскрытия информации о хозяйственной деятельности публичных компаний.</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В случае наличия утвержденных для РСО тарифов на длительный срок прогнозного периода в расчетах используются установленные на данный период тарифы.</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Предметом настоящего обоснования не являются изменения в оборотных активах и краткосрочных обязательствах, возникающие в ходе реализации инвестиционных проектов, определяющих формирование дебиторской и кредиторской задолженности.</w:t>
      </w:r>
    </w:p>
    <w:p w:rsidR="00171D1D" w:rsidRPr="00592BA7" w:rsidRDefault="00171D1D" w:rsidP="00592BA7">
      <w:pPr>
        <w:jc w:val="both"/>
        <w:rPr>
          <w:rFonts w:ascii="Times New Roman" w:hAnsi="Times New Roman" w:cs="Times New Roman"/>
          <w:sz w:val="20"/>
          <w:szCs w:val="20"/>
        </w:rPr>
      </w:pP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Раздел 14 Организация реализации проектов</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Инвестиционные проекты, включенные в Программу, могут быть реализованы в следующих формах:</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проекты, реализуемые действующими организациями;</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проекты, выставленные на конкурс для привлечения сторонних инвесторов (в том числе организации, индивидуальные предприниматели, по договору коммерческой концессии (подрядные организации, определенные на конкурсной основе);</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проекты, для реализации которых создаются организации с участием муниципального округа;</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проекты, для реализации которых создаются организации с участием действующих ресурсоснабжающих организаций.</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Основной формой реализации Программы является разработка инвестиционных программ организаций коммунального комплекса, организаций, осуществляющих регулируемые виды деятельности в сфере электроснабжения, теплоснабжения, обращения с ТКО.</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Особенности принятия инвестиционных программ организаций коммунального комплекса</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Инвестиционная программа организации коммунального комплекса по развитию системы коммунальной инфраструктуры - определяемая органами местного самоуправления для организации коммунального комплекса программа финансирования строительства и (или) модернизации системы коммунальной инфраструктуры и объектов, используемых для утилизации (захоронения) коммунальных отходов, в целях реализации программы комплексного развития систем коммунальной инфраструктуры (далее также - инвестиционная программа). Согласно требованиям Федерального закона "Об основах регулирования тарифов организаций коммунального комплекса" и некоторые законодательные акты Российской Федерации (с изменениями на 28 декабря 2016 года), на основании программы комплексного развития систем коммунальной инфраструктуры органы местного самоуправления разрабатывают технические задания на разработку инвестиционных программ организаций коммунального комплекса, на основании которых организации разрабатывают инвестиционные программы и определяют финансовые потребности на их реализацию.</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Источниками покрытия финансовых потребностей инвестиционных программ являются надбавки к тарифам для потребителей и плата за подключение к сетям инженерной инфраструктуры. Предложения о размере надбавки к ценам (тарифам) для потребителей и соответствующей надбавке к тарифам на товары и услуги организации коммунального комплекса, а также предложения о размерах тарифа на подключение к системе коммунальной инфраструктуры и тарифа организации коммунального комплекса на подключение подготавливает орган регулирования.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Особенности принятия инвестиционных программ организаций, осуществляющих регулируемые виды деятельности в сфере теплоснабжения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Инвестиционная программа организации, осуществляющей регулируемые виды деятельности в сфере теплоснабжения, - программа финансирования мероприятий организации, осуществляющей регулируемые виды деятельности в сфере теплоснабжения, по строительству, капитальному ремонту, реконструкции и (или) модернизации источников тепловой энергии и (или) тепловых сетей в целях развития, повышения надежности и энергетической эффективности системы теплоснабжения, подключения теплопотребляющих установок потребителей тепловой энергии к системе теплоснабжения.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Инвестиционные программы организаций, осуществляющих регулируемые виды деятельности в сфере теплоснабжения, согласно требованиям Федерального закона от 27 июля 2010года № 190-ФЗ «О теплоснабжении» утверждаются органами государственной власти субъектов Российской Федерации по согласованию с органами местного самоуправления.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Правила согласования и утверждения инвестиционных программ организаций, осуществляющих регулируемые виды деятельности в сфере теплоснабжения, утверждает Правительство Чувашской Республики.</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Источниками покрытия финансовых потребностей инвестиционных программ организаций - производителей товаров и услуг в сфере теплоснабжения определяются согласно Правилам, утвержденным Постановлением Правительства РФ от 23 июля 2007года № 464 «Об утверждении правил финансирования инвестиционных программ организаций коммунального комплекса - производителей товаров и услуг в сфере теплоснабжения». Особенности принятия инвестиционных программ субъектов электроэнергетики.</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Инвестиционная программа субъектов электроэнергетики - совокупность всех намечаемых к реализации или реализуемых субъектом электроэнергетики инвестиционных проектов</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Правительство РФ в соответствии с требованиями Федерального закона от 26 марта 2003года № 35-ФЗ «Об электроэнергетике» устанавливает критерии отнесения субъектов электроэнергетики к числу субъектов, инвестиционные программы которых (включая определение источников их финансирования) утверждаются уполномоченным федеральным органом исполнительной власти и (или) органами исполнительной власти субъектов Российской Федерации, и порядок утверждения (в том числе порядок согласования с органами исполнительной власти субъектов Российской Федерации) инвестиционных программ и осуществления контроля за реализацией таких программ. Правила утверждения инвестиционных программ субъектов электроэнергетики, в уставных капиталах которых участвует государство, и сетевых организаций утверждены Постановлением Правительства РФ от 01 декабря 2009года № 977. Источниками покрытия финансовых потребностей инвестиционных программ субъектов электроэнергетики являются инвестиционные ресурсы, включаемые в регулируемые тарифы.</w:t>
      </w:r>
    </w:p>
    <w:p w:rsidR="00171D1D" w:rsidRPr="00592BA7" w:rsidRDefault="00171D1D" w:rsidP="00592BA7">
      <w:pPr>
        <w:jc w:val="both"/>
        <w:rPr>
          <w:rFonts w:ascii="Times New Roman" w:hAnsi="Times New Roman" w:cs="Times New Roman"/>
          <w:sz w:val="20"/>
          <w:szCs w:val="20"/>
        </w:rPr>
      </w:pP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Раздел 15 Программы инвестиционных проектов, тариф и плата (тариф) за подключение (присоединение)</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15.1. Формирование проектов</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В соответствии с нормативно-правовыми актами определены основы формирования и утверждения инвестиционных программ по каждому виду коммунальных услуг.</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На территории муниципального образования не утверждены платы (тарифы) за подключения для организаций коммунального комплекса в индивидуальном порядке.</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Данные представлены в таблицах 15.1.1, 15.1.2,15.1.3.</w:t>
      </w:r>
    </w:p>
    <w:p w:rsidR="00171D1D" w:rsidRPr="00592BA7" w:rsidRDefault="00171D1D" w:rsidP="00592BA7">
      <w:pPr>
        <w:jc w:val="both"/>
        <w:rPr>
          <w:rFonts w:ascii="Times New Roman" w:hAnsi="Times New Roman" w:cs="Times New Roman"/>
          <w:sz w:val="20"/>
          <w:szCs w:val="20"/>
        </w:rPr>
        <w:sectPr w:rsidR="00171D1D" w:rsidRPr="00592BA7" w:rsidSect="00592BA7">
          <w:pgSz w:w="11906" w:h="16838"/>
          <w:pgMar w:top="1134" w:right="851" w:bottom="1134" w:left="1418" w:header="709" w:footer="459" w:gutter="0"/>
          <w:cols w:space="708"/>
          <w:titlePg/>
          <w:docGrid w:linePitch="360"/>
        </w:sectPr>
      </w:pP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Таблица 15.1.1</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Система теплоснабжения (Тепловая энергия, услуги по передаче тепловой энергии)</w:t>
      </w:r>
    </w:p>
    <w:tbl>
      <w:tblPr>
        <w:tblW w:w="5070" w:type="pct"/>
        <w:jc w:val="center"/>
        <w:tblLook w:val="04A0" w:firstRow="1" w:lastRow="0" w:firstColumn="1" w:lastColumn="0" w:noHBand="0" w:noVBand="1"/>
      </w:tblPr>
      <w:tblGrid>
        <w:gridCol w:w="1883"/>
        <w:gridCol w:w="6606"/>
        <w:gridCol w:w="6504"/>
      </w:tblGrid>
      <w:tr w:rsidR="00171D1D" w:rsidRPr="00592BA7" w:rsidTr="00592BA7">
        <w:trPr>
          <w:tblHeader/>
          <w:jc w:val="center"/>
        </w:trPr>
        <w:tc>
          <w:tcPr>
            <w:tcW w:w="628" w:type="pct"/>
            <w:vAlign w:val="center"/>
          </w:tcPr>
          <w:p w:rsidR="00171D1D" w:rsidRPr="00592BA7" w:rsidRDefault="00171D1D" w:rsidP="00592BA7">
            <w:pPr>
              <w:jc w:val="both"/>
              <w:rPr>
                <w:rFonts w:ascii="Times New Roman" w:hAnsi="Times New Roman" w:cs="Times New Roman"/>
                <w:sz w:val="20"/>
                <w:szCs w:val="20"/>
              </w:rPr>
            </w:pPr>
          </w:p>
        </w:tc>
        <w:tc>
          <w:tcPr>
            <w:tcW w:w="2203"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Инвестиционная программа</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в части инвестиционной составляющей в структуре тарифа</w:t>
            </w:r>
          </w:p>
        </w:tc>
        <w:tc>
          <w:tcPr>
            <w:tcW w:w="2169"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Инвестиционная программа в части подключения (технологического присоединения) к системам теплоснабжения</w:t>
            </w:r>
          </w:p>
        </w:tc>
      </w:tr>
      <w:tr w:rsidR="00171D1D" w:rsidRPr="00592BA7" w:rsidTr="00592BA7">
        <w:trPr>
          <w:jc w:val="center"/>
        </w:trPr>
        <w:tc>
          <w:tcPr>
            <w:tcW w:w="628"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Законодательство</w:t>
            </w:r>
          </w:p>
        </w:tc>
        <w:tc>
          <w:tcPr>
            <w:tcW w:w="2203"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Согласование и утверждение инвестиционных программ организаций, осуществляющих регулируемые виды деятельности в сфере теплоснабжения, производится в соответствии с:</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Законом № 190-ФЗ;</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постановлением Правительства РФ от 05.05.2014 № 410 «О порядке согласования и утверждения инвестиционных программ организаций, осуществляющих регулируемые виды деятельности в сфере теплоснабжения, а также требований к составу и содержанию таких программ (за исключением таких программ, утверждаемых в соответствии с законодательством Российской Федерации об электроэнергетике)» (далее – постановление Правительства РФ № 410).</w:t>
            </w:r>
          </w:p>
        </w:tc>
        <w:tc>
          <w:tcPr>
            <w:tcW w:w="2169"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Установление платы за подключение (технологическое присоединение) к системам теплоснабжения осуществляется в соответствии с:</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Законом № 190-ФЗ;</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постановлениями Правительства РФ: № 787 от 05.07.2018 № 787 «О подключении (технологическом присоединении) к системам теплоснабжения, недискриминационном доступе к услугам в сфере теплоснабжения, изменении и признании утратившими силу некоторых актов Правительства Российской Федерации» (с изменениями);</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Методическими указаниями по расчету регулируемых цен (тарифов) в сфере теплоснабжения: № 760-э от 13.06.2013 (с изменениями).</w:t>
            </w:r>
          </w:p>
        </w:tc>
      </w:tr>
      <w:tr w:rsidR="00171D1D" w:rsidRPr="00592BA7" w:rsidTr="00592BA7">
        <w:trPr>
          <w:jc w:val="center"/>
        </w:trPr>
        <w:tc>
          <w:tcPr>
            <w:tcW w:w="628"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Срок</w:t>
            </w:r>
          </w:p>
        </w:tc>
        <w:tc>
          <w:tcPr>
            <w:tcW w:w="2203"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В соответствии с утвержденным Порядком регулируемые организации с учетом предложений органов местного самоуправления муниципальных образований в Чувашской Республике на территориях которых расположены объекты, вошедшие в инвестиционную программу, направляют в Государственную службу Чувашской Республики по конкурентной политике и тарифам проекты инвестиционных программ в части объектов теплоснабжения (включая производство, услуги по передаче тепловой энергии и подключение (технологическое присоединение) к системам теплоснабжения) – в срок до 15 марта года, предшествующего периоду их реализации.</w:t>
            </w:r>
          </w:p>
        </w:tc>
        <w:tc>
          <w:tcPr>
            <w:tcW w:w="2169"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Плата за подключение (технологическое присоединение) к системам теплоснабжения устанавливается Государственной службы Чувашской Республики по конкурентной политике и тарифам до начала очередного периода регулирования, но не позднее 20 декабря года, предшествующего очередному расчетному периоду регулирования.</w:t>
            </w:r>
          </w:p>
        </w:tc>
      </w:tr>
      <w:tr w:rsidR="00171D1D" w:rsidRPr="00592BA7" w:rsidTr="00592BA7">
        <w:trPr>
          <w:jc w:val="center"/>
        </w:trPr>
        <w:tc>
          <w:tcPr>
            <w:tcW w:w="628"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Формы</w:t>
            </w:r>
          </w:p>
        </w:tc>
        <w:tc>
          <w:tcPr>
            <w:tcW w:w="4372" w:type="pct"/>
            <w:gridSpan w:val="2"/>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Проекты инвестиционных программ направляются в Государственную службу Чувашской Республики по конкурентной политике и тарифам по  по формам, утвержденным:</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 приказом Министерства строительства и жилищно-коммунального хозяйства Российской Федерации от 13.08.2014г. №459/пр «Об утверждении рекомендуемой формы инвестиционной программы организации, осуществляющей регулируемые виды деятельности в сфере теплоснабжения, и методических рекомендаций по ее заполнению»</w:t>
            </w:r>
          </w:p>
        </w:tc>
      </w:tr>
      <w:tr w:rsidR="00171D1D" w:rsidRPr="00592BA7" w:rsidTr="00592BA7">
        <w:trPr>
          <w:jc w:val="center"/>
        </w:trPr>
        <w:tc>
          <w:tcPr>
            <w:tcW w:w="628"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Необходимые документы</w:t>
            </w:r>
          </w:p>
        </w:tc>
        <w:tc>
          <w:tcPr>
            <w:tcW w:w="4372" w:type="pct"/>
            <w:gridSpan w:val="2"/>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Представляемые на рассмотрение инвестиционные программы в части объектов теплоснабжения (включая производство, услуги по передаче тепловой энергиии подключение (технологическое присоединение) к системам теплоснабжения) включают в себя документы и материалы в соответствии с п. 8, 12, 13, 16, 17, 19 Правил согласования и утверждения инвестиционных программ организаций, осуществляющих регулируемые виды деятельности в сфере теплоснабжения, а также требований к составу и содержанию таких программ (за исключением таких программ, утверждаемых в соответствии с законодательством Российской Федерации об электроэнергетике), утвержденных постановлением Правительства РФ № 410.</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Кроме этого, согласно Порядку в Государственную службу Чувашской Республики по конкурентной политике и тарифам дополнительно представляются: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а) перечень инвестиционных проектов с подтверждающими обосновывающими материалами (проекты, дефектные ведомости, счета, сводные сметные расчеты и локальные сметные расчеты);</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б) финансовую (бухгалтерскую) отчетность организации на последнюю отчетную дату: форму № 1 «Бухгалтерский баланс», форму № 2 «Отчет о прибылях и убытках», форму</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5 «Приложение к бухгалтерскому балансу», а также аудиторское заключение;</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в) предписания государственных надзорных органов (при наличии таковых).</w:t>
            </w:r>
          </w:p>
        </w:tc>
      </w:tr>
      <w:tr w:rsidR="00171D1D" w:rsidRPr="00592BA7" w:rsidTr="00592BA7">
        <w:trPr>
          <w:jc w:val="center"/>
        </w:trPr>
        <w:tc>
          <w:tcPr>
            <w:tcW w:w="628"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Рассмотрение проекта</w:t>
            </w:r>
          </w:p>
        </w:tc>
        <w:tc>
          <w:tcPr>
            <w:tcW w:w="4372" w:type="pct"/>
            <w:gridSpan w:val="2"/>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Государственная служба Чувашской Республики по конкурентной политике и тарифам рассматривает проект инвестиционной программы в сроки, определенные постановлением Правительства РФ № 410.</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Государственная служба Чувашской Республики по конкурентной политике и тарифам готовит заключение о влиянии реализации инвестиционных программ на уровень тарифов, подлежащих государственному регулированию.</w:t>
            </w:r>
          </w:p>
        </w:tc>
      </w:tr>
      <w:tr w:rsidR="00171D1D" w:rsidRPr="00592BA7" w:rsidTr="00592BA7">
        <w:trPr>
          <w:jc w:val="center"/>
        </w:trPr>
        <w:tc>
          <w:tcPr>
            <w:tcW w:w="628"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Утверждение</w:t>
            </w:r>
          </w:p>
        </w:tc>
        <w:tc>
          <w:tcPr>
            <w:tcW w:w="2203" w:type="pct"/>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Утверждение инвестиционных программ в части объектов теплоснабжения (включая производство, услуги по передаче тепловой энергии и подключение (технологическое присоединение) к системам теплоснабжения) производится распоряжением Правительства Чувашской Республики в срок до 30 октября года, предшествующего периоду их </w:t>
            </w:r>
            <w:r w:rsidRPr="00592BA7">
              <w:rPr>
                <w:rFonts w:ascii="Times New Roman" w:hAnsi="Times New Roman" w:cs="Times New Roman"/>
                <w:sz w:val="20"/>
                <w:szCs w:val="20"/>
              </w:rPr>
              <w:lastRenderedPageBreak/>
              <w:t>реализации, по форме, утвержденной приказом Министерства строительства и жилищно-коммунального хозяйства Российской Федерации от 13.08.2014г. №459/пр</w:t>
            </w:r>
          </w:p>
        </w:tc>
        <w:tc>
          <w:tcPr>
            <w:tcW w:w="2169"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Государственная служба Чувашской Республики по конкурентной политике и тарифам устанавливает плату за подключение (технологическое присоединение) к системам теплоснабжения в соответствии с Методическими указаниями № 760-э.</w:t>
            </w:r>
          </w:p>
          <w:p w:rsidR="00171D1D" w:rsidRPr="00592BA7" w:rsidRDefault="00171D1D" w:rsidP="00592BA7">
            <w:pPr>
              <w:jc w:val="both"/>
              <w:rPr>
                <w:rFonts w:ascii="Times New Roman" w:hAnsi="Times New Roman" w:cs="Times New Roman"/>
                <w:sz w:val="20"/>
                <w:szCs w:val="20"/>
              </w:rPr>
            </w:pPr>
          </w:p>
        </w:tc>
      </w:tr>
      <w:tr w:rsidR="00171D1D" w:rsidRPr="00592BA7" w:rsidTr="00592BA7">
        <w:trPr>
          <w:jc w:val="center"/>
        </w:trPr>
        <w:tc>
          <w:tcPr>
            <w:tcW w:w="628"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Внесение изменений</w:t>
            </w:r>
          </w:p>
        </w:tc>
        <w:tc>
          <w:tcPr>
            <w:tcW w:w="4372" w:type="pct"/>
            <w:gridSpan w:val="2"/>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Изменения, которые вносятся в инвестиционные программы в части объектов теплоснабжения (включая производство, услуги по передаче тепловой энергии, подключение (технологическое присоединение) к системам теплоснабжения), утверждаются до 01 декабря соответствующего (текущего) года.</w:t>
            </w:r>
          </w:p>
        </w:tc>
      </w:tr>
      <w:tr w:rsidR="00171D1D" w:rsidRPr="00592BA7" w:rsidTr="00592BA7">
        <w:trPr>
          <w:jc w:val="center"/>
        </w:trPr>
        <w:tc>
          <w:tcPr>
            <w:tcW w:w="628"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Отчет о реализации</w:t>
            </w:r>
          </w:p>
        </w:tc>
        <w:tc>
          <w:tcPr>
            <w:tcW w:w="4372" w:type="pct"/>
            <w:gridSpan w:val="2"/>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Регулируемые организации представляют отчеты о выполнении инвестиционных программ в Государственную службу Чувашской Республики по конкурентной политике и тарифам по установленной форме, утвержденной приказом Министерства строительства и жилищно-коммунального хозяйства Российской Федерации от 13.08.2014г. №459/пр:</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ежеквартально, в срок до 15 числа месяца, следующего за отчетным кварталом;</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ежегодно, в срок до 01 апреля, за предыдущий год.</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Отчеты предоставляются в электронном и на бумажном носителе за подписью руководителя регулируемой организации (уполномоченного лица) и лица, ответственного за их составление, заверенные печатью.</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В случае неисполнения инвестиционных программ, а также непредставления в установленные сроки отчетов об их выполнении (счета-фактуры, справки о стоимости выполненных работ и затрат, акты о приемке выполненных работ, акты выполненных работ, кредитные договоры, платежные поручения) средства, учтенные в необходимой валовой выручке регулируемых организаций на реализацию инвестиционной программы, подлежат исключению из необходимой валовой выручки (п. 18 Порядка).</w:t>
            </w:r>
          </w:p>
        </w:tc>
      </w:tr>
      <w:tr w:rsidR="00171D1D" w:rsidRPr="00592BA7" w:rsidTr="00592BA7">
        <w:trPr>
          <w:jc w:val="center"/>
        </w:trPr>
        <w:tc>
          <w:tcPr>
            <w:tcW w:w="628"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Особенности расчета</w:t>
            </w:r>
          </w:p>
        </w:tc>
        <w:tc>
          <w:tcPr>
            <w:tcW w:w="2203" w:type="pct"/>
            <w:vAlign w:val="center"/>
          </w:tcPr>
          <w:p w:rsidR="00171D1D" w:rsidRPr="00592BA7" w:rsidRDefault="00171D1D" w:rsidP="00592BA7">
            <w:pPr>
              <w:jc w:val="both"/>
              <w:rPr>
                <w:rFonts w:ascii="Times New Roman" w:hAnsi="Times New Roman" w:cs="Times New Roman"/>
                <w:sz w:val="20"/>
                <w:szCs w:val="20"/>
              </w:rPr>
            </w:pPr>
          </w:p>
        </w:tc>
        <w:tc>
          <w:tcPr>
            <w:tcW w:w="2169"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Плата за подключение дифференцируется: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по диапазонам диаметров тепловых сетей: 50 - 250 мм, 251 - 400 мм, 401 - 550 мм, 551 - 700 мм, 701 мм и выше;</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по типу прокладки тепловых сетей: подземная (канальная и бесканальная) или надземная (наземная).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На основании п. 174 Методических указаний № 760-э теплоснабжающая (теплосетевая) организация в соответствии с приложением 7.9 к Методическим указаниям № 760-э рассчитывает объемы средств для </w:t>
            </w:r>
            <w:r w:rsidRPr="00592BA7">
              <w:rPr>
                <w:rFonts w:ascii="Times New Roman" w:hAnsi="Times New Roman" w:cs="Times New Roman"/>
                <w:sz w:val="20"/>
                <w:szCs w:val="20"/>
              </w:rPr>
              <w:lastRenderedPageBreak/>
              <w:t>компенсации расходов на выполнение мероприятий, подлежащих осуществлению в ходе подключения объектов заявителей, подключаемая тепловая нагрузка которых не превышает 0,1 Гкал/ч, и не включаемых в состав платы за подключение.</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Указанные расчеты представляются в Государственную службу Чувашской Республики по конкурентной политике и тарифам, которая в решении об утверждении тарифов отражает размер экономически обоснованной платы за подключение и соответствующие выпадающие доходы теплоснабжающей (теплосетевой) организации от подключения указанных объектов заявителей, размер которых включается в тарифы на тепловую энергию (мощность) и (или) тарифы на передачу тепловой энергии в том же расчетном периоде регулирования, на который устанавливается плата за подключение.</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При этом расходы на создание (реконструкцию) тепловых сетей от существующих тепловых сетей или источников тепловой энергии до точек подключения объектов заявителей, не включаемые в состав платы за подключение объектов заявителей, подключаемая тепловая нагрузка которых не превышает 0,1 Гкал/ч, определяются с учетом положений п. 173 Методических указаний № 760-э.</w:t>
            </w:r>
          </w:p>
        </w:tc>
      </w:tr>
    </w:tbl>
    <w:p w:rsidR="00171D1D" w:rsidRPr="00592BA7" w:rsidRDefault="00171D1D" w:rsidP="00592BA7">
      <w:pPr>
        <w:jc w:val="both"/>
        <w:rPr>
          <w:rFonts w:ascii="Times New Roman" w:hAnsi="Times New Roman" w:cs="Times New Roman"/>
          <w:sz w:val="20"/>
          <w:szCs w:val="20"/>
        </w:rPr>
      </w:pP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br w:type="page"/>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 xml:space="preserve">Таблица 15.1.2 </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Система электроснабжения (услуги по передаче электрической энергии)</w:t>
      </w:r>
    </w:p>
    <w:tbl>
      <w:tblPr>
        <w:tblW w:w="5022" w:type="pct"/>
        <w:jc w:val="center"/>
        <w:tblLayout w:type="fixed"/>
        <w:tblLook w:val="04A0" w:firstRow="1" w:lastRow="0" w:firstColumn="1" w:lastColumn="0" w:noHBand="0" w:noVBand="1"/>
      </w:tblPr>
      <w:tblGrid>
        <w:gridCol w:w="2011"/>
        <w:gridCol w:w="6332"/>
        <w:gridCol w:w="6508"/>
      </w:tblGrid>
      <w:tr w:rsidR="00171D1D" w:rsidRPr="00592BA7" w:rsidTr="00592BA7">
        <w:trPr>
          <w:tblHeader/>
          <w:jc w:val="center"/>
        </w:trPr>
        <w:tc>
          <w:tcPr>
            <w:tcW w:w="677" w:type="pct"/>
          </w:tcPr>
          <w:p w:rsidR="00171D1D" w:rsidRPr="00592BA7" w:rsidRDefault="00171D1D" w:rsidP="00592BA7">
            <w:pPr>
              <w:jc w:val="both"/>
              <w:rPr>
                <w:rFonts w:ascii="Times New Roman" w:hAnsi="Times New Roman" w:cs="Times New Roman"/>
                <w:sz w:val="20"/>
                <w:szCs w:val="20"/>
              </w:rPr>
            </w:pPr>
          </w:p>
        </w:tc>
        <w:tc>
          <w:tcPr>
            <w:tcW w:w="2132" w:type="pct"/>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Инвестиционная программа </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в части инвестиционной составляющей в структуре тарифа</w:t>
            </w:r>
          </w:p>
        </w:tc>
        <w:tc>
          <w:tcPr>
            <w:tcW w:w="2191" w:type="pct"/>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Инвестиционная программа в части подключения (технологического присоединения) к электрическим сетям</w:t>
            </w:r>
          </w:p>
        </w:tc>
      </w:tr>
      <w:tr w:rsidR="00171D1D" w:rsidRPr="00592BA7" w:rsidTr="00592BA7">
        <w:trPr>
          <w:jc w:val="center"/>
        </w:trPr>
        <w:tc>
          <w:tcPr>
            <w:tcW w:w="677"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Законодательство</w:t>
            </w:r>
          </w:p>
        </w:tc>
        <w:tc>
          <w:tcPr>
            <w:tcW w:w="2132" w:type="pct"/>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Согласование и утверждение инвестиционных программ организаций, осуществляющих регулируемые виды деятельности в сфере электроэнергетики регулируетсяв соответствии с:</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Федеральными законами: № 35-ФЗ от 23 ноября 2009 года № 261-ФЗ «Об энергосбережении и о повышении энергетической эффективности и о внесении изменений в отдельные законодательные акты Российской Федерации» (с изменениями);</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постановлением Правительства РФ от 01.12.2009 № 977 «Об инвестиционных программах субъектов электроэнергетики» с изменениями, внесенными постановлением Правительства РФ от 16.02.2015 № 132 «О внесении изменений в некоторые акты Правительства Российской Федерации по вопросам утверждения инвестиционных программ субъектов электроэнергетики и контроля за их реализацией»</w:t>
            </w:r>
          </w:p>
        </w:tc>
        <w:tc>
          <w:tcPr>
            <w:tcW w:w="2191"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Утверждение платы за технологическое присоединение к электрическим сетям осуществляется в соответствии с:</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Законом № 35-ФЗ;</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постановлением Правительства РФ от 27.12.2004 № 861 «Об утверждении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 Основами ценообразования в области регулируемых цен (тарифов) в электроэнергетике, утвержденных постановлением Правительства № 1178 (далее – Основы ценообразования); </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приказом Федеральной службы по тарифам от 11.09.2012 № 209-э/1 «Об утверждении Методических указаний по определению размера платы за технологическое присоединение к электрическим сетям» (далее – Методические указания № 209-э/1);</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приказом Федеральной службы по тарифам от 11.09.2014 № 215-э/1 «Об утверждении Методических указаний по определению выпадающих доходов, связанных с осуществлением технологического присоединения к электрическим сетям» (далее – Методические указания № 215-э/1).</w:t>
            </w:r>
          </w:p>
        </w:tc>
      </w:tr>
      <w:tr w:rsidR="00171D1D" w:rsidRPr="00592BA7" w:rsidTr="00592BA7">
        <w:trPr>
          <w:jc w:val="center"/>
        </w:trPr>
        <w:tc>
          <w:tcPr>
            <w:tcW w:w="677"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Срок</w:t>
            </w:r>
          </w:p>
        </w:tc>
        <w:tc>
          <w:tcPr>
            <w:tcW w:w="2132"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В соответствии с Правилами утверждения инвестиционных программ субъектов электроэнергетики, утвержденными постановлением Правительства РФ от 01.12.2009 № 977 (с изменениями) (далее – Правила) сетевая организация не позднее дня размещения информации </w:t>
            </w:r>
            <w:r w:rsidRPr="00592BA7">
              <w:rPr>
                <w:rFonts w:ascii="Times New Roman" w:hAnsi="Times New Roman" w:cs="Times New Roman"/>
                <w:sz w:val="20"/>
                <w:szCs w:val="20"/>
              </w:rPr>
              <w:lastRenderedPageBreak/>
              <w:t>об инвестиционной программе в соответствии со стандартами раскрытия информации субъектами оптового и розничных рынков электрической энергии, утвержденными постановлением Правительства РФ от 21.01.2004 № 24 «Об утверждении стандартов раскрытия информации субъектами оптового и розничных рынков электрической энергии», но не позднее 05 апреля года, предшествующего периоду реализации инвестиционной программы направляет с использованием официального сайта федеральной государственной информационной системы «Единый портал государственных и муниципальных услуг (функций)» в информационно-телекоммуникационной сети «Интернет» (далее – официальный сайт системы) заявление в орган исполнительной власти субъекта Российской Федерации, уполномоченный на утверждение инвестиционной программы</w:t>
            </w:r>
          </w:p>
        </w:tc>
        <w:tc>
          <w:tcPr>
            <w:tcW w:w="2191"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 xml:space="preserve">В соответствии с п. 87 Основ ценообразования сетевые организации ежегодно, не позднее 01 ноября, представляют в Государственную службу Чувашской Республики по конкурентной политике и тарифам прогнозные сведения о расходах за технологическое присоединение на </w:t>
            </w:r>
            <w:r w:rsidRPr="00592BA7">
              <w:rPr>
                <w:rFonts w:ascii="Times New Roman" w:hAnsi="Times New Roman" w:cs="Times New Roman"/>
                <w:sz w:val="20"/>
                <w:szCs w:val="20"/>
              </w:rPr>
              <w:lastRenderedPageBreak/>
              <w:t>очередной календарный год, а также сведения о расходах, связанных с осуществлением технологического присоединения к электрическим сетям, не включаемых в плату за технологическое присоединение.</w:t>
            </w:r>
          </w:p>
        </w:tc>
      </w:tr>
      <w:tr w:rsidR="00171D1D" w:rsidRPr="00592BA7" w:rsidTr="00592BA7">
        <w:trPr>
          <w:jc w:val="center"/>
        </w:trPr>
        <w:tc>
          <w:tcPr>
            <w:tcW w:w="677"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Необходимые документы</w:t>
            </w:r>
          </w:p>
        </w:tc>
        <w:tc>
          <w:tcPr>
            <w:tcW w:w="4323" w:type="pct"/>
            <w:gridSpan w:val="2"/>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Заявление и информация в форме электронных документов, подписанных с использованием усиленной квалифицированной электронной подписи, в соответствии с п. 12, 13 Правил. Финансовый план субъекта электроэнергетики и паспорта инвестиционных проектов направляются в форме электронных документов в соответствии с формами, правилами заполнения указанных форм и требованиями к их форматам, утверждаемыми Министерством энергетики Российской Федерации по согласованию с Министерством связи и массовых коммуникаций Российской Федерации</w:t>
            </w:r>
          </w:p>
        </w:tc>
      </w:tr>
      <w:tr w:rsidR="00171D1D" w:rsidRPr="00592BA7" w:rsidTr="00592BA7">
        <w:trPr>
          <w:jc w:val="center"/>
        </w:trPr>
        <w:tc>
          <w:tcPr>
            <w:tcW w:w="677"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Рассмотрение проекта</w:t>
            </w:r>
          </w:p>
        </w:tc>
        <w:tc>
          <w:tcPr>
            <w:tcW w:w="4323" w:type="pct"/>
            <w:gridSpan w:val="2"/>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Органы и организации, указанные в п. 19 Правил рассматривают проект инвестиционной программы в соответствии со сроками, установленными Правилами</w:t>
            </w:r>
          </w:p>
        </w:tc>
      </w:tr>
      <w:tr w:rsidR="00171D1D" w:rsidRPr="00592BA7" w:rsidTr="00592BA7">
        <w:trPr>
          <w:jc w:val="center"/>
        </w:trPr>
        <w:tc>
          <w:tcPr>
            <w:tcW w:w="677"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Утверждение</w:t>
            </w:r>
          </w:p>
        </w:tc>
        <w:tc>
          <w:tcPr>
            <w:tcW w:w="2132" w:type="pct"/>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Уполномоченный орган исполнительной власти субъекта Российской Федерации утверждает инвестиционную программу с учетом результатов осуществления контроля за реализацией инвестиционных программ в предыдущих периодах (при реализации инвестиционных программ в предыдущих периодах) при отсутствии замечаний и предложений к проекту инвестиционной программы, предусмотренных п. 49, 50, 55 Правил, в срок до 1 ноября года, предшествующего периоду реализации инвестиционной программы, а в случаях, предусмотренных п. 58-61 Правил – в течение 15 рабочих дней после размещения субъектом электроэнергетики на официальном </w:t>
            </w:r>
            <w:r w:rsidRPr="00592BA7">
              <w:rPr>
                <w:rFonts w:ascii="Times New Roman" w:hAnsi="Times New Roman" w:cs="Times New Roman"/>
                <w:sz w:val="20"/>
                <w:szCs w:val="20"/>
              </w:rPr>
              <w:lastRenderedPageBreak/>
              <w:t>сайте системы итогового проекта инвестиционной программы в соответствии с п. 62 Правил.</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Уполномоченный орган исполнительной власти субъекта Российской Федерации утверждает инвестиционную программу при наличии заключений (отчетов) по результатам проведения технологического и ценового аудита в случаях, когда получение таких заключений (отчетов) в соответствии с федеральными законами, актами Президента Российской Федерации и Правительства Российской Федерации является обязательным</w:t>
            </w:r>
          </w:p>
        </w:tc>
        <w:tc>
          <w:tcPr>
            <w:tcW w:w="2191"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Государственная служба Чувашской Республики по конкурентной политике и тарифам утверждает на период регулирования: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стандартизированные тарифные ставки;</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ставки за единицу максимальной мощности;</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формулы платы за технологическое присоединение.</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Территориальные сетевые организации представляют в Государственную службу Чувашской Республики по конкурентной </w:t>
            </w:r>
            <w:r w:rsidRPr="00592BA7">
              <w:rPr>
                <w:rFonts w:ascii="Times New Roman" w:hAnsi="Times New Roman" w:cs="Times New Roman"/>
                <w:sz w:val="20"/>
                <w:szCs w:val="20"/>
              </w:rPr>
              <w:lastRenderedPageBreak/>
              <w:t>политике и тарифам прогнозные сведения о расходах за технологическое присоединение на очередной календарный год в соответствии с Методическими указаниями № 209-э/1 с учетом стоимости каждого мероприятия в отдельности, а также с разбивкой по категориям потребителей, уровням напряжения электрических сетей, к которым осуществляется технологическое присоединение, и (или) объемам присоединяемой максимальной мощности.</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На основе представленных сведений Государственная служба Чувашской Республики по конкурентной политике и тарифам на очередной календарный год устанавливает не позднее 31 декабря года, предшествующего очередному году, плату за технологическое присоединение к электрическим сетям (за исключением платы по индивидуальному проекту и платы за технологическое присоединение к территориальным распределительным электрическим сетям энергопринимающих устройств отдельных потребителей и объектов по производству электрической энергии максимальной мощностью не менее 8900 кВт и на уровне напряжения не ниже 35 кВ).</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Территориальные сетевые организации представляют в Государственую службу Чувашской Республики по конкурентной политике и тарифам сведения о расходах, связанных с осуществлением технологического присоединения к электрическим сетям, не включаемых в плату за технологическое присоединение, в соответствии с Методическими указаниями № 215-э/1.</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Размер выпадающих доходов, связанных с осуществлением технологического присоединения к электрическим сетям, не включаемых в плату за технологическое присоединение, включается в тариф на услуги по передаче электрической энергии.</w:t>
            </w:r>
          </w:p>
        </w:tc>
      </w:tr>
      <w:tr w:rsidR="00171D1D" w:rsidRPr="00592BA7" w:rsidTr="00592BA7">
        <w:trPr>
          <w:jc w:val="center"/>
        </w:trPr>
        <w:tc>
          <w:tcPr>
            <w:tcW w:w="677"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Отчет о реализации</w:t>
            </w:r>
          </w:p>
        </w:tc>
        <w:tc>
          <w:tcPr>
            <w:tcW w:w="4323" w:type="pct"/>
            <w:gridSpan w:val="2"/>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Сетевые организации ежегодно, до 1 апреля, размещают на официальном сайте системы в соответствии со стандартами раскрытия информации отчеты о реализации инвестиционных программ за предыдущий год и не позднее рабочего дня, соответствующего дню раскрытия указанной </w:t>
            </w:r>
            <w:r w:rsidRPr="00592BA7">
              <w:rPr>
                <w:rFonts w:ascii="Times New Roman" w:hAnsi="Times New Roman" w:cs="Times New Roman"/>
                <w:sz w:val="20"/>
                <w:szCs w:val="20"/>
              </w:rPr>
              <w:lastRenderedPageBreak/>
              <w:t>информации, направляют с использованием интерактивных форм официального сайта системы в органы исполнительной власти субъектов Российской Федерации, а также в органы и организации, участвующие в утверждении соответствующих инвестиционных программ, уведомление, содержащее указание на дату и место размещения на официальном сайте системы (точный электронный адрес) указанной информации.</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В случае неисполнения инвестиционных программ, а также непредставления в установленные сроки отчетов об их выполнении (счета-фактуры, справки о стоимости выполненных работ и затрат, акты о приемке выполненных работ, акты выполненных работ, кредитные договоры, платежные поручения) средства, учтенные в необходимой валовой выручке регулируемых организаций на реализацию инвестиционной программы, подлежат исключению из необходимой валовой выручки (п. 18 Порядка)</w:t>
            </w:r>
          </w:p>
        </w:tc>
      </w:tr>
      <w:tr w:rsidR="00171D1D" w:rsidRPr="00592BA7" w:rsidTr="00592BA7">
        <w:trPr>
          <w:jc w:val="center"/>
        </w:trPr>
        <w:tc>
          <w:tcPr>
            <w:tcW w:w="677"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Особенности расчета</w:t>
            </w:r>
          </w:p>
        </w:tc>
        <w:tc>
          <w:tcPr>
            <w:tcW w:w="2132" w:type="pct"/>
            <w:vAlign w:val="center"/>
          </w:tcPr>
          <w:p w:rsidR="00171D1D" w:rsidRPr="00592BA7" w:rsidRDefault="00171D1D" w:rsidP="00592BA7">
            <w:pPr>
              <w:jc w:val="both"/>
              <w:rPr>
                <w:rFonts w:ascii="Times New Roman" w:hAnsi="Times New Roman" w:cs="Times New Roman"/>
                <w:sz w:val="20"/>
                <w:szCs w:val="20"/>
              </w:rPr>
            </w:pPr>
          </w:p>
        </w:tc>
        <w:tc>
          <w:tcPr>
            <w:tcW w:w="2191"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Стандартизированные тарифные ставки на строительство воздушных и кабельных линий электропередач, строительство подстанций утверждаются единые для всех территориальных сетевых организаций Чувашской Республики. Для перевода стандартизированных тарифных ставок за технологическое присоединение заявителей к электрическим сетям сетевых организаций на территории Чувашской Республики в текущий уровень цен, необходимо использовать индексы изменения сметной стоимости строительства, разработанные к сметно-нормативной базе 2001 года и рекомендуемые Министерством строительства и жилищно-коммунального хозяйства Российской Федерации в рамках реализации полномочий в области сметного нормирования и ценообразования в сфере градостроительной деятельности.</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Ставки за единицу максимальной мощности для территориальных сетевых организаций Чувашской Республики утверждаются индивидуально. </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С 01 октября 2015 года размер включаемых в состав платы за технологическое присоединение энергопринимающих устройств максимальной мощностью не более чем 150 кВт инвестиционной составляющей на покрытие расходов на строительство объектов электросетевого хозяйства от существующих объектов электросетевого хозяйства до присоединяемых энергопринимающих устройств и (или) объектов электроэнергетики не может составлять более чем 50 </w:t>
            </w:r>
            <w:r w:rsidRPr="00592BA7">
              <w:rPr>
                <w:rFonts w:ascii="Times New Roman" w:hAnsi="Times New Roman" w:cs="Times New Roman"/>
                <w:sz w:val="20"/>
                <w:szCs w:val="20"/>
              </w:rPr>
              <w:lastRenderedPageBreak/>
              <w:t>процентов от величины указанных расходов.</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На основании п. 7 Методических указаний № 209-э/1 по обращению сетевой организации плата за технологическое присоединение к территориальным распределительным электрическим сетям энергопринимающих устройств отдельных потребителей максимальной мощностью не менее 8900 кВт и на уровне напряжения не ниже 35 кВ утверждаются по индивидуальному проекту без привязки к сроку предоставления материалов.</w:t>
            </w:r>
          </w:p>
        </w:tc>
      </w:tr>
    </w:tbl>
    <w:p w:rsidR="00171D1D" w:rsidRPr="00592BA7" w:rsidRDefault="00171D1D" w:rsidP="00592BA7">
      <w:pPr>
        <w:jc w:val="both"/>
        <w:rPr>
          <w:rFonts w:ascii="Times New Roman" w:hAnsi="Times New Roman" w:cs="Times New Roman"/>
          <w:sz w:val="20"/>
          <w:szCs w:val="20"/>
        </w:rPr>
      </w:pP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Таблица 15.1.3</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Система водоснабжения и водоотведения (Холодное водоснабжение, водоотведение, поставка горячей воды с использованием закрытой системы теплоснабжения)</w:t>
      </w:r>
    </w:p>
    <w:tbl>
      <w:tblPr>
        <w:tblW w:w="14850" w:type="dxa"/>
        <w:tblLook w:val="04A0" w:firstRow="1" w:lastRow="0" w:firstColumn="1" w:lastColumn="0" w:noHBand="0" w:noVBand="1"/>
      </w:tblPr>
      <w:tblGrid>
        <w:gridCol w:w="1980"/>
        <w:gridCol w:w="6095"/>
        <w:gridCol w:w="6775"/>
      </w:tblGrid>
      <w:tr w:rsidR="00171D1D" w:rsidRPr="00592BA7" w:rsidTr="00592BA7">
        <w:trPr>
          <w:tblHeader/>
        </w:trPr>
        <w:tc>
          <w:tcPr>
            <w:tcW w:w="1980" w:type="dxa"/>
            <w:vAlign w:val="center"/>
          </w:tcPr>
          <w:p w:rsidR="00171D1D" w:rsidRPr="00592BA7" w:rsidRDefault="00171D1D" w:rsidP="00592BA7">
            <w:pPr>
              <w:jc w:val="both"/>
              <w:rPr>
                <w:rFonts w:ascii="Times New Roman" w:hAnsi="Times New Roman" w:cs="Times New Roman"/>
                <w:sz w:val="20"/>
                <w:szCs w:val="20"/>
              </w:rPr>
            </w:pPr>
          </w:p>
        </w:tc>
        <w:tc>
          <w:tcPr>
            <w:tcW w:w="6095" w:type="dxa"/>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Инвестиционная программа </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в части инвестиционной составляющей в структуре тарифа</w:t>
            </w:r>
          </w:p>
        </w:tc>
        <w:tc>
          <w:tcPr>
            <w:tcW w:w="6775" w:type="dxa"/>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Инвестиционная программа в части подключения (технологического присоединения) к системам водоснабжения и (или) водоотведения</w:t>
            </w:r>
          </w:p>
        </w:tc>
      </w:tr>
      <w:tr w:rsidR="00171D1D" w:rsidRPr="00592BA7" w:rsidTr="00592BA7">
        <w:tc>
          <w:tcPr>
            <w:tcW w:w="1980"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Законодательство</w:t>
            </w:r>
          </w:p>
        </w:tc>
        <w:tc>
          <w:tcPr>
            <w:tcW w:w="6095" w:type="dxa"/>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Согласование и утверждение инвестиционных программ организаций, осуществляющих регулируемые виды деятельности в сфере водоснабжения и водоотведения, регулируется в соответствии с постановлением Правительства РФ № 641.</w:t>
            </w:r>
          </w:p>
        </w:tc>
        <w:tc>
          <w:tcPr>
            <w:tcW w:w="6775"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Утверждение платы за подключение (технологическое присоединение) к централизованным системам горячего водоснабжения, осуществляемого с использованием закрытых систем теплоснабжения (горячего водоснабжения), централизованным системам холодного водоснабжения и (или) водоотведения осуществляется в соответствии с:</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 Законом № 416-ФЗ; </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 постановлениями Правительства РФ: № 406 от 29.07.2013 № 644 «Об утверждении правил холодного водоснабжения и водоотведения и о внесении изменений в некоторые акты Правительства Российской Федерации», от 29.07.2013 № 643 «Об утверждении типовых договоров в области горячего водоснабжения», от 29.07.2013 № 645 «Об утверждении типовых договоров в области холодного водоснабжения и водоотведения», от 13.02.2006 № 83 «Об утверждении Правил определения и </w:t>
            </w:r>
            <w:r w:rsidRPr="00592BA7">
              <w:rPr>
                <w:rFonts w:ascii="Times New Roman" w:hAnsi="Times New Roman" w:cs="Times New Roman"/>
                <w:sz w:val="20"/>
                <w:szCs w:val="20"/>
              </w:rPr>
              <w:lastRenderedPageBreak/>
              <w:t>предоставления технических условий подключения объектов капитального строительства к сетям инженерно-технического обеспечения и Правил подключения объектов капитального строительства к сетям инженерно-технического обеспечения»;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приказом ФСТ России от 27.12.2013 № 1746-э «Об утверждении Методических указаний по расчету регулируемых тарифов в сфере водоснабжения и водоотведения» (далее – Методические указания № 1746-э).</w:t>
            </w:r>
          </w:p>
        </w:tc>
      </w:tr>
      <w:tr w:rsidR="00171D1D" w:rsidRPr="00592BA7" w:rsidTr="00592BA7">
        <w:tc>
          <w:tcPr>
            <w:tcW w:w="1980"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Срок</w:t>
            </w:r>
          </w:p>
        </w:tc>
        <w:tc>
          <w:tcPr>
            <w:tcW w:w="6095"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В соответствии с утвержденным Порядком регулируемые организации с учетом предложений органов местного самоуправления муниципальных образований в Чувашской Республике, на территориях которых расположены объекты, вошедшие в инвестиционную программу, направляют в Государственную службу Чувашской Республики по конкурентной политике и тарифам проекты инвестиционных программ в части объектов централизованных систем горячего водоснабжения, холодного водоснабжения и (или) водоотведения, включая услуги в сферах централизованных систем горячего водоснабжения, холодного водоснабжения и (или) водоотведения и подключение (технологическое присоединение) к централизованным системам горячего водоснабжения, холодного водоснабжения и (или) водоотведения – в срок до 15 апреля года, предшествующего периоду их реализации.</w:t>
            </w:r>
          </w:p>
        </w:tc>
        <w:tc>
          <w:tcPr>
            <w:tcW w:w="6775"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Ставки тарифов на подключение (технологическое присоединение) к централизованным системам горячего водоснабжения, холодного водоснабжения и (или) водоотведения устанавливаются до начала очередного периода регулирования, но не позднее 20 декабря года, предшествующего очередному расчетному периоду регулирования.</w:t>
            </w:r>
          </w:p>
        </w:tc>
      </w:tr>
      <w:tr w:rsidR="00171D1D" w:rsidRPr="00592BA7" w:rsidTr="00592BA7">
        <w:tc>
          <w:tcPr>
            <w:tcW w:w="1980"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Формы</w:t>
            </w:r>
          </w:p>
        </w:tc>
        <w:tc>
          <w:tcPr>
            <w:tcW w:w="12870" w:type="dxa"/>
            <w:gridSpan w:val="2"/>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Проекты инвестиционных программ направляются в Государственную службу Чувашской Республики по конкурентной политике и тарифам по формам, утвержденным Постановлением Правительства РФ от 29 июля 2013 г. N 641 "Об инвестиционных и производственных программах организаций, осуществляющих деятельность в сфере водоснабжения и водоотведения"</w:t>
            </w:r>
          </w:p>
        </w:tc>
      </w:tr>
      <w:tr w:rsidR="00171D1D" w:rsidRPr="00592BA7" w:rsidTr="00592BA7">
        <w:tc>
          <w:tcPr>
            <w:tcW w:w="1980"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Необходимые документы</w:t>
            </w:r>
          </w:p>
        </w:tc>
        <w:tc>
          <w:tcPr>
            <w:tcW w:w="12870" w:type="dxa"/>
            <w:gridSpan w:val="2"/>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Представляемые на рассмотрение инвестиционные программы в части объектов централизованных систем горячего водоснабжения, холодного водоснабжения и (или) водоотведения, включая услуги в сферах централизованных систем горячего водоснабжения, холодного водоснабжения и (или) водоотведения и подключение (технологическое присоединение) к централизованным системам горячего водоснабжения, холодного </w:t>
            </w:r>
            <w:r w:rsidRPr="00592BA7">
              <w:rPr>
                <w:rFonts w:ascii="Times New Roman" w:hAnsi="Times New Roman" w:cs="Times New Roman"/>
                <w:sz w:val="20"/>
                <w:szCs w:val="20"/>
              </w:rPr>
              <w:lastRenderedPageBreak/>
              <w:t>водоснабжения и (или) водоотведения включают в себя документы и материалы в соответствии с разделом III Правил разработки, согласования, утверждения и корректировки инвестиционных программ организаций, осуществляющих горячее водоснабжение, холодное водоснабжение и (или) водоотведение, утвержденных постановлением Правительства РФ № 641.</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Кроме этого, согласно Порядку в Государственную службу Чувашской Республики по конкурентной политике и тарифам дополнительно представляются: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а) перечень инвестиционных проектов с подтверждающими обосновывающими материалами (проекты, дефектные ведомости, счета, сводные сметные расчеты и локальные сметные расчеты);</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б) финансовая (бухгалтерская) отчетность организации на последнюю отчетную дату: форма № 1 «Бухгалтерский баланс», форма № 2 «Отчет о прибылях и убытках», форма № 5 «Приложение к бухгалтерскому балансу», а также аудиторское заключение;</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в) предписания государственных надзорных органов (при наличии таковых).</w:t>
            </w:r>
          </w:p>
        </w:tc>
      </w:tr>
      <w:tr w:rsidR="00171D1D" w:rsidRPr="00592BA7" w:rsidTr="00592BA7">
        <w:tc>
          <w:tcPr>
            <w:tcW w:w="1980"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Рассмотрение проекта</w:t>
            </w:r>
          </w:p>
        </w:tc>
        <w:tc>
          <w:tcPr>
            <w:tcW w:w="6095"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Государственная служба Чувашской Республики по конкурентной политике и тарифам рассматривает проект инвестиционной программы в течение30 дней со дня получения. Государственная служба Чувашской Республики по конкурентной политике и тарифам готовит заключение о влиянии реализации инвестиционных программ на уровень тарифов, подлежащих государственному регулированию</w:t>
            </w:r>
          </w:p>
        </w:tc>
        <w:tc>
          <w:tcPr>
            <w:tcW w:w="6775" w:type="dxa"/>
            <w:vAlign w:val="center"/>
          </w:tcPr>
          <w:p w:rsidR="00171D1D" w:rsidRPr="00592BA7" w:rsidRDefault="00171D1D" w:rsidP="00592BA7">
            <w:pPr>
              <w:jc w:val="both"/>
              <w:rPr>
                <w:rFonts w:ascii="Times New Roman" w:hAnsi="Times New Roman" w:cs="Times New Roman"/>
                <w:sz w:val="20"/>
                <w:szCs w:val="20"/>
              </w:rPr>
            </w:pPr>
          </w:p>
        </w:tc>
      </w:tr>
      <w:tr w:rsidR="00171D1D" w:rsidRPr="00592BA7" w:rsidTr="00592BA7">
        <w:tc>
          <w:tcPr>
            <w:tcW w:w="1980"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Утверждение</w:t>
            </w:r>
          </w:p>
        </w:tc>
        <w:tc>
          <w:tcPr>
            <w:tcW w:w="6095"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Проект инвестиционной программы разрабатывается на основе технического задания на разработку инвестиционной программы регулируемой организации. Техническое задание разрабатывает и утверждает орган местного самоуправления муниципального образования до 01 марта года, предшествующего году начала планируемого срока действия инвестиционной программы.</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Утверждение инвестиционной программы в отсутствие утвержденной в установленном порядке схемы водоснабжения и водоотведения не допускается.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Утверждение инвестиционных программ в части объектов централизованных систем горячего водоснабжения, холодного водоснабжения и (или) водоотведения (включая услуги в сфере централизованных систем горячего водоснабжения, холодного водоснабжения и (или) водоотведения, подключение (технологическое присоединение) к централизованным системам горячего водоснабжения, холодного водоснабжения и (или) водоотведения) производится распоряжением Правительства Чувашской Республики не позднее 01 декабря года, предшествующего периоду их реализации.</w:t>
            </w:r>
          </w:p>
        </w:tc>
        <w:tc>
          <w:tcPr>
            <w:tcW w:w="6775"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Размер платы за подключение к централизованной системе водоснабжения и (или) водоотведения рассчитывается организацией, осуществляющей подключение (технологическое присоединение) в соответствии с Методическими указаниями № 1746-э по следующей формуле:</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 </w:t>
            </w:r>
          </w:p>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 </w:t>
            </w:r>
            <w:r w:rsidRPr="00592BA7">
              <w:rPr>
                <w:rFonts w:ascii="Times New Roman" w:hAnsi="Times New Roman" w:cs="Times New Roman"/>
                <w:noProof/>
                <w:sz w:val="20"/>
                <w:szCs w:val="20"/>
                <w:lang w:eastAsia="ru-RU"/>
              </w:rPr>
              <w:drawing>
                <wp:inline distT="0" distB="0" distL="0" distR="0" wp14:anchorId="48E79D75" wp14:editId="789074C8">
                  <wp:extent cx="1587500" cy="25590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87500" cy="255905"/>
                          </a:xfrm>
                          <a:prstGeom prst="rect">
                            <a:avLst/>
                          </a:prstGeom>
                          <a:noFill/>
                          <a:ln>
                            <a:noFill/>
                          </a:ln>
                        </pic:spPr>
                      </pic:pic>
                    </a:graphicData>
                  </a:graphic>
                </wp:inline>
              </w:drawing>
            </w:r>
            <w:r w:rsidRPr="00592BA7">
              <w:rPr>
                <w:rFonts w:ascii="Times New Roman" w:hAnsi="Times New Roman" w:cs="Times New Roman"/>
                <w:sz w:val="20"/>
                <w:szCs w:val="20"/>
                <w:lang w:eastAsia="ru-RU"/>
              </w:rPr>
              <w:t xml:space="preserve">, </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где:</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ПП - плата за подключение объекта абонента к централизованной системе водоснабжения и (или) водоотведения, тыс. руб.;</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noProof/>
                <w:sz w:val="20"/>
                <w:szCs w:val="20"/>
                <w:lang w:eastAsia="ru-RU"/>
              </w:rPr>
              <w:drawing>
                <wp:inline distT="0" distB="0" distL="0" distR="0" wp14:anchorId="58DD1058" wp14:editId="33C8EB31">
                  <wp:extent cx="285115" cy="190500"/>
                  <wp:effectExtent l="0" t="0" r="0" b="0"/>
                  <wp:docPr id="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85115" cy="190500"/>
                          </a:xfrm>
                          <a:prstGeom prst="rect">
                            <a:avLst/>
                          </a:prstGeom>
                          <a:noFill/>
                          <a:ln>
                            <a:noFill/>
                          </a:ln>
                        </pic:spPr>
                      </pic:pic>
                    </a:graphicData>
                  </a:graphic>
                </wp:inline>
              </w:drawing>
            </w:r>
            <w:r w:rsidRPr="00592BA7">
              <w:rPr>
                <w:rFonts w:ascii="Times New Roman" w:hAnsi="Times New Roman" w:cs="Times New Roman"/>
                <w:sz w:val="20"/>
                <w:szCs w:val="20"/>
              </w:rPr>
              <w:t xml:space="preserve">   - ставка тарифа за подключаемую нагрузку водопроводной или канализационной сети, тыс. руб./куб. м в сут.;</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М - подключаемая нагрузка (мощность) объекта абонента, определяемая исходя из диаметра подключаемой водопроводной или канализационной сети, куб. м/сут.;</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 </w:t>
            </w:r>
            <w:r w:rsidRPr="00592BA7">
              <w:rPr>
                <w:rFonts w:ascii="Times New Roman" w:hAnsi="Times New Roman" w:cs="Times New Roman"/>
                <w:noProof/>
                <w:sz w:val="20"/>
                <w:szCs w:val="20"/>
                <w:lang w:eastAsia="ru-RU"/>
              </w:rPr>
              <w:drawing>
                <wp:inline distT="0" distB="0" distL="0" distR="0" wp14:anchorId="3DF38DDE" wp14:editId="43965A09">
                  <wp:extent cx="248920" cy="24892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48920" cy="248920"/>
                          </a:xfrm>
                          <a:prstGeom prst="rect">
                            <a:avLst/>
                          </a:prstGeom>
                          <a:noFill/>
                          <a:ln>
                            <a:noFill/>
                          </a:ln>
                        </pic:spPr>
                      </pic:pic>
                    </a:graphicData>
                  </a:graphic>
                </wp:inline>
              </w:drawing>
            </w:r>
            <w:r w:rsidRPr="00592BA7">
              <w:rPr>
                <w:rFonts w:ascii="Times New Roman" w:hAnsi="Times New Roman" w:cs="Times New Roman"/>
                <w:sz w:val="20"/>
                <w:szCs w:val="20"/>
              </w:rPr>
              <w:t xml:space="preserve"> - -ставка тарифа за протяженность водопроводной или канализационной сети диаметром d, тыс. руб./км;</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L - протяженность водопроводной или канализационной сети от точки подключения объекта заявителя до точки подключения создаваемых организацией водопроводных и (или) канализационных сетей к объектам централизованной системы водоснабжения и (или) водоотведения, км.</w:t>
            </w:r>
          </w:p>
        </w:tc>
      </w:tr>
      <w:tr w:rsidR="00171D1D" w:rsidRPr="00592BA7" w:rsidTr="00592BA7">
        <w:tc>
          <w:tcPr>
            <w:tcW w:w="1980"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Внесение изменений</w:t>
            </w:r>
          </w:p>
        </w:tc>
        <w:tc>
          <w:tcPr>
            <w:tcW w:w="12870" w:type="dxa"/>
            <w:gridSpan w:val="2"/>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Инвестиционная программа ежегодно корректируется при изменении объективных условий ее реализации.</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Изменения, которые вносятся в инвестиционные программы в части объектов централизованных систем горячего водоснабжения, холодного водоснабжения и (или) водоотведения (включая услуги в сфере централизованных систем горячего водоснабжения, холодного водоснабжения и (или) водоотведения, подключение (технологическое присоединение) к централизованным системам горячего водоснабжения, холодного водоснабжения и (или) водоотведения), утверждаются до 01 декабря текущего года.</w:t>
            </w:r>
          </w:p>
        </w:tc>
      </w:tr>
      <w:tr w:rsidR="00171D1D" w:rsidRPr="00592BA7" w:rsidTr="00592BA7">
        <w:tc>
          <w:tcPr>
            <w:tcW w:w="1980"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Отчет о реализации</w:t>
            </w:r>
          </w:p>
        </w:tc>
        <w:tc>
          <w:tcPr>
            <w:tcW w:w="12870" w:type="dxa"/>
            <w:gridSpan w:val="2"/>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Организации, осуществляющие регулируемые виды деятельности в сфере водоснабжения и водоотведения, представляют отчеты о выполнении инвестиционных программ в Государственную службу Чувашской Республики по конкурентной политике и тарифам по установленной форме, утвержденной Постановлением Правительства РФ от 29 июля 2013 г. N 641 "Об инвестиционных и производственных программах организаций, осуществляющих деятельность в сфере водоснабжения и водоотведения"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ежеквартально, не позднее чем через 45 дней после окончания отчетного квартала;</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ежегодно, за предыдущий год, не позднее чем через 45 дней после сдачи годовой бухгалтерской отчетности.</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Отчеты предоставляются в электронном виде и на бумажном носителе за подписью руководителя регулируемой организации (уполномоченного лица) и лица, ответственного за их составление, заверенные печатью.</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В случае неисполнения инвестиционных программ, а также непредставления в установленные сроки отчетов об их выполнении (счета-фактуры, справки о стоимости выполненных работ и затрат, акты о приемке выполненных работ, акты выполненных работ, кредитные договоры, платежные поручения) средства, учтенные в необходимой валовой выручке регулируемых организаций на реализацию инвестиционной программы, подлежат исключению из необходимой валовой выручки (п. 18 Порядка).</w:t>
            </w:r>
          </w:p>
        </w:tc>
      </w:tr>
      <w:tr w:rsidR="00171D1D" w:rsidRPr="00592BA7" w:rsidTr="00592BA7">
        <w:tc>
          <w:tcPr>
            <w:tcW w:w="1980"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Особенности расчета</w:t>
            </w:r>
          </w:p>
        </w:tc>
        <w:tc>
          <w:tcPr>
            <w:tcW w:w="6095" w:type="dxa"/>
            <w:vAlign w:val="center"/>
          </w:tcPr>
          <w:p w:rsidR="00171D1D" w:rsidRPr="00592BA7" w:rsidRDefault="00171D1D" w:rsidP="00592BA7">
            <w:pPr>
              <w:jc w:val="both"/>
              <w:rPr>
                <w:rFonts w:ascii="Times New Roman" w:hAnsi="Times New Roman" w:cs="Times New Roman"/>
                <w:sz w:val="20"/>
                <w:szCs w:val="20"/>
              </w:rPr>
            </w:pPr>
          </w:p>
        </w:tc>
        <w:tc>
          <w:tcPr>
            <w:tcW w:w="6775"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По решению органа регулирования ставки тарифов за подключаемую нагрузку и протяженность водопроводной и канализационной сети могут устанавливаться дифференцированно.</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В отношении заявителей, величина подключаемой (присоединяемой) нагрузки объектов которых превышает 10 куб. метров в час (осуществляется с использованием создаваемых сетей водоснабжения и (или) водоотведения с площадью поперечного сечения трубопровода, превышающей 300 кв. сантиметров (предельный уровень нагрузки), размер платы за подключение устанавливается Государственной службой Чувашской Республики по конкурентной политике и тарифам в индивидуальном порядке с учетом расходов на увеличение мощности (пропускной способности) централизованных систем водоснабжения и (или) водоотведения, в том числе расходов на реконструкцию и (или) модернизацию существующих объектов централизованных систем водоснабжения и (или) водоотведения.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Для справки: условный диаметр присоединяемого трубопровода с площадью поперечного сечения 300 кв. сантиметров соответствует 200 миллиметрам (по принятому в производстве типоразмеру). Отсутствие утвержденной в установленном порядке инвестиционной программы не является основанием для не установления органом регулирования организациям водопроводно-канализационного хозяйства платы за подключение (технологическое присоединение) в индивидуальном порядке.</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При наличии технической возможности подключения (технологического </w:t>
            </w:r>
            <w:r w:rsidRPr="00592BA7">
              <w:rPr>
                <w:rFonts w:ascii="Times New Roman" w:hAnsi="Times New Roman" w:cs="Times New Roman"/>
                <w:sz w:val="20"/>
                <w:szCs w:val="20"/>
              </w:rPr>
              <w:lastRenderedPageBreak/>
              <w:t>присоединения) к централизованной системе холодного водоснабжения и водоотведения и при наличии свободной мощности в соответствующей точке подключения (технологического присоединения) наличие утвержденной инвестиционной программы для установления органом регулирования платы за подключение не требуется.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Плата за подключение (технологическое присоединение) к системам водоснабжения и водоотведения в индивидуальном порядке устанавливается органом регулирования без привязки к сроку представления материалов.</w:t>
            </w:r>
          </w:p>
        </w:tc>
      </w:tr>
    </w:tbl>
    <w:p w:rsidR="00171D1D" w:rsidRPr="00592BA7" w:rsidRDefault="00171D1D" w:rsidP="00592BA7">
      <w:pPr>
        <w:jc w:val="both"/>
        <w:rPr>
          <w:rFonts w:ascii="Times New Roman" w:hAnsi="Times New Roman" w:cs="Times New Roman"/>
          <w:sz w:val="20"/>
          <w:szCs w:val="20"/>
        </w:rPr>
      </w:pPr>
    </w:p>
    <w:p w:rsidR="00171D1D" w:rsidRPr="00592BA7" w:rsidRDefault="00171D1D" w:rsidP="00592BA7">
      <w:pPr>
        <w:jc w:val="both"/>
        <w:rPr>
          <w:rFonts w:ascii="Times New Roman" w:hAnsi="Times New Roman" w:cs="Times New Roman"/>
          <w:sz w:val="20"/>
          <w:szCs w:val="20"/>
        </w:rPr>
      </w:pPr>
    </w:p>
    <w:p w:rsidR="00171D1D" w:rsidRPr="00592BA7" w:rsidRDefault="00171D1D" w:rsidP="00592BA7">
      <w:pPr>
        <w:jc w:val="both"/>
        <w:rPr>
          <w:rFonts w:ascii="Times New Roman" w:hAnsi="Times New Roman" w:cs="Times New Roman"/>
          <w:sz w:val="20"/>
          <w:szCs w:val="20"/>
        </w:rPr>
        <w:sectPr w:rsidR="00171D1D" w:rsidRPr="00592BA7" w:rsidSect="00592BA7">
          <w:pgSz w:w="16838" w:h="11906" w:orient="landscape"/>
          <w:pgMar w:top="1418" w:right="1134" w:bottom="851" w:left="1134" w:header="709" w:footer="459" w:gutter="0"/>
          <w:cols w:space="708"/>
          <w:titlePg/>
          <w:docGrid w:linePitch="360"/>
        </w:sectPr>
      </w:pP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15.2. Обоснование источников финансирования</w:t>
      </w:r>
    </w:p>
    <w:p w:rsidR="00171D1D" w:rsidRPr="00592BA7" w:rsidRDefault="00171D1D" w:rsidP="00592BA7">
      <w:pPr>
        <w:jc w:val="both"/>
        <w:rPr>
          <w:rFonts w:ascii="Times New Roman" w:hAnsi="Times New Roman" w:cs="Times New Roman"/>
          <w:sz w:val="20"/>
          <w:szCs w:val="20"/>
        </w:rPr>
      </w:pP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Инвестиционные программы (проекты) дифференцируются по источникам финансирования: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 в части собственных средств предприятия: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r w:rsidRPr="00592BA7">
        <w:rPr>
          <w:rFonts w:ascii="Times New Roman" w:hAnsi="Times New Roman" w:cs="Times New Roman"/>
          <w:sz w:val="20"/>
          <w:szCs w:val="20"/>
        </w:rPr>
        <w:tab/>
        <w:t>амортизационные отчисления.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 в части подключения (технологического присоединения):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r w:rsidRPr="00592BA7">
        <w:rPr>
          <w:rFonts w:ascii="Times New Roman" w:hAnsi="Times New Roman" w:cs="Times New Roman"/>
          <w:sz w:val="20"/>
          <w:szCs w:val="20"/>
        </w:rPr>
        <w:tab/>
        <w:t>мероприятия по новому строительству за счет средств новых абонентов, в соответствии с утвержденной платой за подключение.</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 в части бюджетных источников:</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r w:rsidRPr="00592BA7">
        <w:rPr>
          <w:rFonts w:ascii="Times New Roman" w:hAnsi="Times New Roman" w:cs="Times New Roman"/>
          <w:sz w:val="20"/>
          <w:szCs w:val="20"/>
        </w:rPr>
        <w:tab/>
        <w:t>местный бюджет;</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r w:rsidRPr="00592BA7">
        <w:rPr>
          <w:rFonts w:ascii="Times New Roman" w:hAnsi="Times New Roman" w:cs="Times New Roman"/>
          <w:sz w:val="20"/>
          <w:szCs w:val="20"/>
        </w:rPr>
        <w:tab/>
        <w:t>республиканский бюджет;</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r w:rsidRPr="00592BA7">
        <w:rPr>
          <w:rFonts w:ascii="Times New Roman" w:hAnsi="Times New Roman" w:cs="Times New Roman"/>
          <w:sz w:val="20"/>
          <w:szCs w:val="20"/>
        </w:rPr>
        <w:tab/>
        <w:t>федеральный бюджет.</w:t>
      </w:r>
    </w:p>
    <w:p w:rsidR="00171D1D" w:rsidRPr="00592BA7" w:rsidRDefault="00171D1D" w:rsidP="00592BA7">
      <w:pPr>
        <w:jc w:val="both"/>
        <w:rPr>
          <w:rFonts w:ascii="Times New Roman" w:hAnsi="Times New Roman" w:cs="Times New Roman"/>
          <w:sz w:val="20"/>
          <w:szCs w:val="20"/>
        </w:rPr>
      </w:pP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15.3. Оценка совокупных инвестиционных и эксплуатационных затрат по каждой организации коммунального комплекса</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Оценка совокупных инвестиционных и эксплуатационных затрат для организаций коммунального комплекса, по которой имеются проекты, на весь прогнозный период представлены в Разделе 13.</w:t>
      </w:r>
    </w:p>
    <w:p w:rsidR="00171D1D" w:rsidRPr="00592BA7" w:rsidRDefault="00171D1D" w:rsidP="00592BA7">
      <w:pPr>
        <w:jc w:val="both"/>
        <w:rPr>
          <w:rFonts w:ascii="Times New Roman" w:hAnsi="Times New Roman" w:cs="Times New Roman"/>
          <w:sz w:val="20"/>
          <w:szCs w:val="20"/>
        </w:rPr>
      </w:pP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15.4. Оценка уровней тарифов на каждый коммунальный ресурс</w:t>
      </w:r>
    </w:p>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Реализация программы предполагает установление долгосрочных тарифов на регулируемые коммунальные услуги.</w:t>
      </w:r>
    </w:p>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Источниками информации о структуре себестоимости производимых коммунальных ресурсов являются сведения, опубликованные ресурсоснабжающими организациями в соответствии с федеральным и/или региональным законодательством в области раскрытия информации о деятельности организаций, осуществляющих реализацию товаров (услуг) по регулируемым ценам, а также в соответствии с правилами раскрытия информации о хозяйственной деятельности публичных компаний. Для приведения цен и тарифов к ценам соответствующих лет применены индексы изменения цен, установленные в Долгосрочном прогнозе индексации регулируемых цен (тарифов) на продукцию (услуги) компаний инфраструктурного сектора и в Прогнозе долгосрочного социально-экономического развития Российской Федерации на период до 2035 года включительно.</w:t>
      </w:r>
    </w:p>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Индексы изменения цен и тарифов приведены в таблице 16.1. В случае наличия утвержденных для РСО тарифов на отдельные года прогнозного периода в расчетах используются установленные на данный период тарифы.</w:t>
      </w:r>
    </w:p>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При наличии у РСО тарифов, установленных на отдельные периоды будущих лет (полугодия, кварталы, месяцы), среднегодовые тарифы (цены) определяются по правилу среднехронологического, т.е. годовой тариф определяется как взвешенная сумма тарифов, установленных на разные части года, в которой в качестве весов используется длительность внутригодовых периодов действия тарифа.</w:t>
      </w:r>
    </w:p>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Оценка уровней тарифов на каждый коммунальный ресурс для населения муниципального образования установлены тарифы на коммунальные услуги, представленные в Разделе 16.</w:t>
      </w:r>
    </w:p>
    <w:p w:rsidR="00171D1D" w:rsidRPr="00592BA7" w:rsidRDefault="00171D1D" w:rsidP="00592BA7">
      <w:pPr>
        <w:jc w:val="both"/>
        <w:rPr>
          <w:rFonts w:ascii="Times New Roman" w:hAnsi="Times New Roman" w:cs="Times New Roman"/>
          <w:sz w:val="20"/>
          <w:szCs w:val="20"/>
        </w:rPr>
      </w:pP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Раздел 16 Прогноз расходов населения на коммунальные ресурсы, расходов бюджета на социальную поддержку и субсидии, проверка доступности тарифов на коммунальные услуги</w:t>
      </w:r>
    </w:p>
    <w:p w:rsidR="00171D1D" w:rsidRPr="00592BA7" w:rsidRDefault="00171D1D" w:rsidP="00592BA7">
      <w:pPr>
        <w:jc w:val="both"/>
        <w:rPr>
          <w:rFonts w:ascii="Times New Roman" w:hAnsi="Times New Roman" w:cs="Times New Roman"/>
          <w:sz w:val="20"/>
          <w:szCs w:val="20"/>
        </w:rPr>
      </w:pPr>
    </w:p>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 данном разделе приведены следующие показатели, характеризующие влияние состояние коммунальной инфраструктуры муниципального образования на перспективные расходы населения на соответствующие услуги:</w:t>
      </w:r>
    </w:p>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 Расчет прогнозного совокупного платежа населения муниципального образования за коммунальные ресурсы на основе прогноза спроса с учетом энергоресурсосбережения и тарифов (платы (тарифа) за подключение (присоединение) без учета льгот и субсидий;</w:t>
      </w:r>
    </w:p>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2. Сопоставление прогнозного совокупного платежа населения за коммунальные ресурсы с прогнозами доходов населения и расчет прогнозной потребности в социальной поддержке и размера субсидий на оплату коммунальных услуг, с учетом действующих федеральных и региональных стандартов максимально допустимой доли собственных расходов граждан на оплату жилого помещения и коммунальных услуг в совокупном доходе семьи, действующих нормативных документов о порядке определения размера субсидий на оплату коммунальных услуг; </w:t>
      </w:r>
    </w:p>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 Проверка доступности тарифов на коммунальные услуги для населения для каждого года периода, на который разрабатывается программа путем сопоставления рассчитанных показателей и критериев доступности.</w:t>
      </w:r>
    </w:p>
    <w:p w:rsidR="00171D1D" w:rsidRPr="00592BA7" w:rsidRDefault="00171D1D" w:rsidP="00592BA7">
      <w:pPr>
        <w:jc w:val="both"/>
        <w:rPr>
          <w:rFonts w:ascii="Times New Roman" w:hAnsi="Times New Roman" w:cs="Times New Roman"/>
          <w:sz w:val="20"/>
          <w:szCs w:val="20"/>
          <w:lang w:eastAsia="ru-RU"/>
        </w:rPr>
      </w:pP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Таблица 16.1</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Индексы изменения цен и тарифов</w:t>
      </w:r>
    </w:p>
    <w:tbl>
      <w:tblPr>
        <w:tblW w:w="5000" w:type="pct"/>
        <w:tblLook w:val="04A0" w:firstRow="1" w:lastRow="0" w:firstColumn="1" w:lastColumn="0" w:noHBand="0" w:noVBand="1"/>
      </w:tblPr>
      <w:tblGrid>
        <w:gridCol w:w="431"/>
        <w:gridCol w:w="4194"/>
        <w:gridCol w:w="1108"/>
        <w:gridCol w:w="664"/>
        <w:gridCol w:w="665"/>
        <w:gridCol w:w="665"/>
        <w:gridCol w:w="665"/>
        <w:gridCol w:w="665"/>
        <w:gridCol w:w="683"/>
      </w:tblGrid>
      <w:tr w:rsidR="00171D1D" w:rsidRPr="00592BA7" w:rsidTr="00592BA7">
        <w:trPr>
          <w:trHeight w:val="20"/>
        </w:trPr>
        <w:tc>
          <w:tcPr>
            <w:tcW w:w="174"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пп</w:t>
            </w:r>
          </w:p>
        </w:tc>
        <w:tc>
          <w:tcPr>
            <w:tcW w:w="216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Вид коммунальной услуги</w:t>
            </w:r>
          </w:p>
        </w:tc>
        <w:tc>
          <w:tcPr>
            <w:tcW w:w="57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Ед. изм.</w:t>
            </w:r>
          </w:p>
        </w:tc>
        <w:tc>
          <w:tcPr>
            <w:tcW w:w="2089" w:type="pct"/>
            <w:gridSpan w:val="6"/>
            <w:tcBorders>
              <w:top w:val="single" w:sz="4" w:space="0" w:color="auto"/>
              <w:left w:val="nil"/>
              <w:bottom w:val="single" w:sz="4" w:space="0" w:color="auto"/>
              <w:right w:val="single" w:sz="4" w:space="0" w:color="auto"/>
            </w:tcBorders>
            <w:shd w:val="clear" w:color="auto" w:fill="auto"/>
            <w:noWrap/>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Прогнозные значения</w:t>
            </w:r>
          </w:p>
        </w:tc>
      </w:tr>
      <w:tr w:rsidR="00171D1D" w:rsidRPr="00592BA7" w:rsidTr="00592BA7">
        <w:trPr>
          <w:trHeight w:val="20"/>
        </w:trPr>
        <w:tc>
          <w:tcPr>
            <w:tcW w:w="174" w:type="pct"/>
            <w:vMerge/>
            <w:tcBorders>
              <w:top w:val="single" w:sz="4" w:space="0" w:color="auto"/>
              <w:left w:val="single" w:sz="4" w:space="0" w:color="auto"/>
              <w:bottom w:val="single" w:sz="4" w:space="0" w:color="auto"/>
              <w:right w:val="single" w:sz="4" w:space="0" w:color="auto"/>
            </w:tcBorders>
            <w:vAlign w:val="center"/>
            <w:hideMark/>
          </w:tcPr>
          <w:p w:rsidR="00171D1D" w:rsidRPr="00592BA7" w:rsidRDefault="00171D1D" w:rsidP="00592BA7">
            <w:pPr>
              <w:jc w:val="both"/>
              <w:rPr>
                <w:rFonts w:ascii="Times New Roman" w:hAnsi="Times New Roman" w:cs="Times New Roman"/>
                <w:sz w:val="20"/>
                <w:szCs w:val="20"/>
              </w:rPr>
            </w:pPr>
          </w:p>
        </w:tc>
        <w:tc>
          <w:tcPr>
            <w:tcW w:w="2160" w:type="pct"/>
            <w:vMerge/>
            <w:tcBorders>
              <w:top w:val="single" w:sz="4" w:space="0" w:color="auto"/>
              <w:left w:val="single" w:sz="4" w:space="0" w:color="auto"/>
              <w:bottom w:val="single" w:sz="4" w:space="0" w:color="auto"/>
              <w:right w:val="single" w:sz="4" w:space="0" w:color="auto"/>
            </w:tcBorders>
            <w:vAlign w:val="center"/>
            <w:hideMark/>
          </w:tcPr>
          <w:p w:rsidR="00171D1D" w:rsidRPr="00592BA7" w:rsidRDefault="00171D1D" w:rsidP="00592BA7">
            <w:pPr>
              <w:jc w:val="both"/>
              <w:rPr>
                <w:rFonts w:ascii="Times New Roman" w:hAnsi="Times New Roman" w:cs="Times New Roman"/>
                <w:sz w:val="20"/>
                <w:szCs w:val="20"/>
              </w:rPr>
            </w:pPr>
          </w:p>
        </w:tc>
        <w:tc>
          <w:tcPr>
            <w:tcW w:w="576" w:type="pct"/>
            <w:vMerge/>
            <w:tcBorders>
              <w:top w:val="single" w:sz="4" w:space="0" w:color="auto"/>
              <w:left w:val="single" w:sz="4" w:space="0" w:color="auto"/>
              <w:bottom w:val="single" w:sz="4" w:space="0" w:color="auto"/>
              <w:right w:val="single" w:sz="4" w:space="0" w:color="auto"/>
            </w:tcBorders>
            <w:vAlign w:val="center"/>
            <w:hideMark/>
          </w:tcPr>
          <w:p w:rsidR="00171D1D" w:rsidRPr="00592BA7" w:rsidRDefault="00171D1D" w:rsidP="00592BA7">
            <w:pPr>
              <w:jc w:val="both"/>
              <w:rPr>
                <w:rFonts w:ascii="Times New Roman" w:hAnsi="Times New Roman" w:cs="Times New Roman"/>
                <w:sz w:val="20"/>
                <w:szCs w:val="20"/>
              </w:rPr>
            </w:pPr>
          </w:p>
        </w:tc>
        <w:tc>
          <w:tcPr>
            <w:tcW w:w="34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2024 год</w:t>
            </w:r>
          </w:p>
        </w:tc>
        <w:tc>
          <w:tcPr>
            <w:tcW w:w="348" w:type="pct"/>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2025 год</w:t>
            </w:r>
          </w:p>
        </w:tc>
        <w:tc>
          <w:tcPr>
            <w:tcW w:w="348" w:type="pct"/>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2026 год</w:t>
            </w:r>
          </w:p>
        </w:tc>
        <w:tc>
          <w:tcPr>
            <w:tcW w:w="348" w:type="pct"/>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2027 год</w:t>
            </w:r>
          </w:p>
        </w:tc>
        <w:tc>
          <w:tcPr>
            <w:tcW w:w="348" w:type="pct"/>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2028 год</w:t>
            </w:r>
          </w:p>
        </w:tc>
        <w:tc>
          <w:tcPr>
            <w:tcW w:w="34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2029-2034 годы</w:t>
            </w:r>
          </w:p>
        </w:tc>
      </w:tr>
      <w:tr w:rsidR="00171D1D" w:rsidRPr="00592BA7" w:rsidTr="00592BA7">
        <w:trPr>
          <w:trHeight w:val="173"/>
        </w:trPr>
        <w:tc>
          <w:tcPr>
            <w:tcW w:w="174" w:type="pct"/>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w:t>
            </w:r>
          </w:p>
        </w:tc>
        <w:tc>
          <w:tcPr>
            <w:tcW w:w="2160" w:type="pct"/>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Электроэнергия, рост тарифов</w:t>
            </w:r>
          </w:p>
        </w:tc>
        <w:tc>
          <w:tcPr>
            <w:tcW w:w="576" w:type="pct"/>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c>
          <w:tcPr>
            <w:tcW w:w="348" w:type="pct"/>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2,2</w:t>
            </w:r>
          </w:p>
        </w:tc>
        <w:tc>
          <w:tcPr>
            <w:tcW w:w="348" w:type="pct"/>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2,2</w:t>
            </w:r>
          </w:p>
        </w:tc>
        <w:tc>
          <w:tcPr>
            <w:tcW w:w="348" w:type="pct"/>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2,2</w:t>
            </w:r>
          </w:p>
        </w:tc>
        <w:tc>
          <w:tcPr>
            <w:tcW w:w="348" w:type="pct"/>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2,2</w:t>
            </w:r>
          </w:p>
        </w:tc>
        <w:tc>
          <w:tcPr>
            <w:tcW w:w="348" w:type="pct"/>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2,2</w:t>
            </w:r>
          </w:p>
        </w:tc>
        <w:tc>
          <w:tcPr>
            <w:tcW w:w="349" w:type="pct"/>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2,2</w:t>
            </w:r>
          </w:p>
        </w:tc>
      </w:tr>
      <w:tr w:rsidR="00171D1D" w:rsidRPr="00592BA7" w:rsidTr="00592BA7">
        <w:trPr>
          <w:trHeight w:val="20"/>
        </w:trPr>
        <w:tc>
          <w:tcPr>
            <w:tcW w:w="174" w:type="pct"/>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w:t>
            </w:r>
          </w:p>
        </w:tc>
        <w:tc>
          <w:tcPr>
            <w:tcW w:w="2160" w:type="pct"/>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Тепловая энергия, рост тарифов</w:t>
            </w:r>
          </w:p>
        </w:tc>
        <w:tc>
          <w:tcPr>
            <w:tcW w:w="576" w:type="pct"/>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c>
          <w:tcPr>
            <w:tcW w:w="348" w:type="pct"/>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2,2</w:t>
            </w:r>
          </w:p>
        </w:tc>
        <w:tc>
          <w:tcPr>
            <w:tcW w:w="348" w:type="pct"/>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2,2</w:t>
            </w:r>
          </w:p>
        </w:tc>
        <w:tc>
          <w:tcPr>
            <w:tcW w:w="348" w:type="pct"/>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2,2</w:t>
            </w:r>
          </w:p>
        </w:tc>
        <w:tc>
          <w:tcPr>
            <w:tcW w:w="348" w:type="pct"/>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2,2</w:t>
            </w:r>
          </w:p>
        </w:tc>
        <w:tc>
          <w:tcPr>
            <w:tcW w:w="348" w:type="pct"/>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2,2</w:t>
            </w:r>
          </w:p>
        </w:tc>
        <w:tc>
          <w:tcPr>
            <w:tcW w:w="349" w:type="pct"/>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2,2</w:t>
            </w:r>
          </w:p>
        </w:tc>
      </w:tr>
      <w:tr w:rsidR="00171D1D" w:rsidRPr="00592BA7" w:rsidTr="00592BA7">
        <w:trPr>
          <w:trHeight w:val="20"/>
        </w:trPr>
        <w:tc>
          <w:tcPr>
            <w:tcW w:w="174" w:type="pct"/>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w:t>
            </w:r>
          </w:p>
        </w:tc>
        <w:tc>
          <w:tcPr>
            <w:tcW w:w="2160" w:type="pct"/>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Водоснабжение и водоотведение, рост тарифов</w:t>
            </w:r>
          </w:p>
        </w:tc>
        <w:tc>
          <w:tcPr>
            <w:tcW w:w="576" w:type="pct"/>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c>
          <w:tcPr>
            <w:tcW w:w="348" w:type="pct"/>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0,4</w:t>
            </w:r>
          </w:p>
        </w:tc>
        <w:tc>
          <w:tcPr>
            <w:tcW w:w="348" w:type="pct"/>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0,4</w:t>
            </w:r>
          </w:p>
        </w:tc>
        <w:tc>
          <w:tcPr>
            <w:tcW w:w="348" w:type="pct"/>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0,4</w:t>
            </w:r>
          </w:p>
        </w:tc>
        <w:tc>
          <w:tcPr>
            <w:tcW w:w="348" w:type="pct"/>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0,4</w:t>
            </w:r>
          </w:p>
        </w:tc>
        <w:tc>
          <w:tcPr>
            <w:tcW w:w="348" w:type="pct"/>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0,4</w:t>
            </w:r>
          </w:p>
        </w:tc>
        <w:tc>
          <w:tcPr>
            <w:tcW w:w="349" w:type="pct"/>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0,4</w:t>
            </w:r>
          </w:p>
        </w:tc>
      </w:tr>
      <w:tr w:rsidR="00171D1D" w:rsidRPr="00592BA7" w:rsidTr="00592BA7">
        <w:trPr>
          <w:trHeight w:val="20"/>
        </w:trPr>
        <w:tc>
          <w:tcPr>
            <w:tcW w:w="1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w:t>
            </w:r>
          </w:p>
        </w:tc>
        <w:tc>
          <w:tcPr>
            <w:tcW w:w="2160" w:type="pct"/>
            <w:tcBorders>
              <w:top w:val="single" w:sz="4" w:space="0" w:color="auto"/>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Газоснабжение, рост тарифов</w:t>
            </w:r>
          </w:p>
        </w:tc>
        <w:tc>
          <w:tcPr>
            <w:tcW w:w="576" w:type="pct"/>
            <w:tcBorders>
              <w:top w:val="single" w:sz="4" w:space="0" w:color="auto"/>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c>
          <w:tcPr>
            <w:tcW w:w="348" w:type="pct"/>
            <w:tcBorders>
              <w:top w:val="single" w:sz="4" w:space="0" w:color="auto"/>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2,2</w:t>
            </w:r>
          </w:p>
        </w:tc>
        <w:tc>
          <w:tcPr>
            <w:tcW w:w="348" w:type="pct"/>
            <w:tcBorders>
              <w:top w:val="single" w:sz="4" w:space="0" w:color="auto"/>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2,2</w:t>
            </w:r>
          </w:p>
        </w:tc>
        <w:tc>
          <w:tcPr>
            <w:tcW w:w="348" w:type="pct"/>
            <w:tcBorders>
              <w:top w:val="single" w:sz="4" w:space="0" w:color="auto"/>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2,2</w:t>
            </w:r>
          </w:p>
        </w:tc>
        <w:tc>
          <w:tcPr>
            <w:tcW w:w="348" w:type="pct"/>
            <w:tcBorders>
              <w:top w:val="single" w:sz="4" w:space="0" w:color="auto"/>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2,2</w:t>
            </w:r>
          </w:p>
        </w:tc>
        <w:tc>
          <w:tcPr>
            <w:tcW w:w="348" w:type="pct"/>
            <w:tcBorders>
              <w:top w:val="single" w:sz="4" w:space="0" w:color="auto"/>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2,2</w:t>
            </w:r>
          </w:p>
        </w:tc>
        <w:tc>
          <w:tcPr>
            <w:tcW w:w="349" w:type="pct"/>
            <w:tcBorders>
              <w:top w:val="single" w:sz="4" w:space="0" w:color="auto"/>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2,2</w:t>
            </w:r>
          </w:p>
        </w:tc>
      </w:tr>
      <w:tr w:rsidR="00171D1D" w:rsidRPr="00592BA7" w:rsidTr="00592BA7">
        <w:trPr>
          <w:trHeight w:val="20"/>
        </w:trPr>
        <w:tc>
          <w:tcPr>
            <w:tcW w:w="174" w:type="pct"/>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5</w:t>
            </w:r>
          </w:p>
        </w:tc>
        <w:tc>
          <w:tcPr>
            <w:tcW w:w="2160" w:type="pct"/>
            <w:tcBorders>
              <w:top w:val="single" w:sz="4" w:space="0" w:color="auto"/>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Система по обращению с ТКО, рост тарифов</w:t>
            </w:r>
          </w:p>
        </w:tc>
        <w:tc>
          <w:tcPr>
            <w:tcW w:w="576" w:type="pct"/>
            <w:tcBorders>
              <w:top w:val="single" w:sz="4" w:space="0" w:color="auto"/>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c>
          <w:tcPr>
            <w:tcW w:w="348" w:type="pct"/>
            <w:tcBorders>
              <w:top w:val="single" w:sz="4" w:space="0" w:color="auto"/>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0,4</w:t>
            </w:r>
          </w:p>
        </w:tc>
        <w:tc>
          <w:tcPr>
            <w:tcW w:w="348" w:type="pct"/>
            <w:tcBorders>
              <w:top w:val="single" w:sz="4" w:space="0" w:color="auto"/>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0,4</w:t>
            </w:r>
          </w:p>
        </w:tc>
        <w:tc>
          <w:tcPr>
            <w:tcW w:w="348" w:type="pct"/>
            <w:tcBorders>
              <w:top w:val="single" w:sz="4" w:space="0" w:color="auto"/>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0,4</w:t>
            </w:r>
          </w:p>
        </w:tc>
        <w:tc>
          <w:tcPr>
            <w:tcW w:w="348" w:type="pct"/>
            <w:tcBorders>
              <w:top w:val="single" w:sz="4" w:space="0" w:color="auto"/>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0,4</w:t>
            </w:r>
          </w:p>
        </w:tc>
        <w:tc>
          <w:tcPr>
            <w:tcW w:w="348" w:type="pct"/>
            <w:tcBorders>
              <w:top w:val="single" w:sz="4" w:space="0" w:color="auto"/>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0,4</w:t>
            </w:r>
          </w:p>
        </w:tc>
        <w:tc>
          <w:tcPr>
            <w:tcW w:w="349" w:type="pct"/>
            <w:tcBorders>
              <w:top w:val="single" w:sz="4" w:space="0" w:color="auto"/>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0,4</w:t>
            </w:r>
          </w:p>
        </w:tc>
      </w:tr>
    </w:tbl>
    <w:p w:rsidR="00171D1D" w:rsidRPr="00592BA7" w:rsidRDefault="00171D1D" w:rsidP="00592BA7">
      <w:pPr>
        <w:jc w:val="both"/>
        <w:rPr>
          <w:rFonts w:ascii="Times New Roman" w:hAnsi="Times New Roman" w:cs="Times New Roman"/>
          <w:sz w:val="20"/>
          <w:szCs w:val="20"/>
        </w:rPr>
      </w:pPr>
    </w:p>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Таблица 16.2</w:t>
      </w:r>
    </w:p>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Оценка уровней тарифов на каждый коммунальный ресурс для населения Шумерлинского муниципального округа на расчетный период</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5"/>
        <w:gridCol w:w="2424"/>
        <w:gridCol w:w="1621"/>
        <w:gridCol w:w="877"/>
        <w:gridCol w:w="877"/>
        <w:gridCol w:w="877"/>
        <w:gridCol w:w="877"/>
        <w:gridCol w:w="877"/>
        <w:gridCol w:w="875"/>
      </w:tblGrid>
      <w:tr w:rsidR="00171D1D" w:rsidRPr="00592BA7" w:rsidTr="00592BA7">
        <w:trPr>
          <w:trHeight w:val="20"/>
        </w:trPr>
        <w:tc>
          <w:tcPr>
            <w:tcW w:w="224" w:type="pct"/>
            <w:vMerge w:val="restart"/>
            <w:shd w:val="clear" w:color="auto" w:fill="auto"/>
            <w:vAlign w:val="center"/>
          </w:tcPr>
          <w:p w:rsidR="00171D1D" w:rsidRPr="00592BA7" w:rsidRDefault="00171D1D" w:rsidP="00592BA7">
            <w:pPr>
              <w:jc w:val="both"/>
              <w:rPr>
                <w:rFonts w:ascii="Times New Roman" w:hAnsi="Times New Roman" w:cs="Times New Roman"/>
                <w:sz w:val="20"/>
                <w:szCs w:val="20"/>
              </w:rPr>
            </w:pPr>
            <w:bookmarkStart w:id="3" w:name="_Hlk58767950"/>
            <w:r w:rsidRPr="00592BA7">
              <w:rPr>
                <w:rFonts w:ascii="Times New Roman" w:hAnsi="Times New Roman" w:cs="Times New Roman"/>
                <w:sz w:val="20"/>
                <w:szCs w:val="20"/>
              </w:rPr>
              <w:t>№ пп</w:t>
            </w:r>
          </w:p>
        </w:tc>
        <w:tc>
          <w:tcPr>
            <w:tcW w:w="1245" w:type="pct"/>
            <w:vMerge w:val="restar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Вид коммунальной услуги</w:t>
            </w:r>
          </w:p>
        </w:tc>
        <w:tc>
          <w:tcPr>
            <w:tcW w:w="832" w:type="pct"/>
            <w:vMerge w:val="restar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Ед. изм.</w:t>
            </w:r>
          </w:p>
        </w:tc>
        <w:tc>
          <w:tcPr>
            <w:tcW w:w="2698" w:type="pct"/>
            <w:gridSpan w:val="6"/>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Прогнозные значения</w:t>
            </w:r>
          </w:p>
        </w:tc>
      </w:tr>
      <w:tr w:rsidR="00171D1D" w:rsidRPr="00592BA7" w:rsidTr="00592BA7">
        <w:trPr>
          <w:trHeight w:val="20"/>
        </w:trPr>
        <w:tc>
          <w:tcPr>
            <w:tcW w:w="224" w:type="pct"/>
            <w:vMerge/>
            <w:shd w:val="clear" w:color="auto" w:fill="auto"/>
            <w:vAlign w:val="center"/>
          </w:tcPr>
          <w:p w:rsidR="00171D1D" w:rsidRPr="00592BA7" w:rsidRDefault="00171D1D" w:rsidP="00592BA7">
            <w:pPr>
              <w:jc w:val="both"/>
              <w:rPr>
                <w:rFonts w:ascii="Times New Roman" w:hAnsi="Times New Roman" w:cs="Times New Roman"/>
                <w:sz w:val="20"/>
                <w:szCs w:val="20"/>
              </w:rPr>
            </w:pPr>
          </w:p>
        </w:tc>
        <w:tc>
          <w:tcPr>
            <w:tcW w:w="1245" w:type="pct"/>
            <w:vMerge/>
            <w:shd w:val="clear" w:color="auto" w:fill="auto"/>
            <w:vAlign w:val="center"/>
          </w:tcPr>
          <w:p w:rsidR="00171D1D" w:rsidRPr="00592BA7" w:rsidRDefault="00171D1D" w:rsidP="00592BA7">
            <w:pPr>
              <w:jc w:val="both"/>
              <w:rPr>
                <w:rFonts w:ascii="Times New Roman" w:hAnsi="Times New Roman" w:cs="Times New Roman"/>
                <w:sz w:val="20"/>
                <w:szCs w:val="20"/>
              </w:rPr>
            </w:pPr>
          </w:p>
        </w:tc>
        <w:tc>
          <w:tcPr>
            <w:tcW w:w="832" w:type="pct"/>
            <w:vMerge/>
            <w:shd w:val="clear" w:color="auto" w:fill="auto"/>
            <w:vAlign w:val="center"/>
          </w:tcPr>
          <w:p w:rsidR="00171D1D" w:rsidRPr="00592BA7" w:rsidRDefault="00171D1D" w:rsidP="00592BA7">
            <w:pPr>
              <w:jc w:val="both"/>
              <w:rPr>
                <w:rFonts w:ascii="Times New Roman" w:hAnsi="Times New Roman" w:cs="Times New Roman"/>
                <w:sz w:val="20"/>
                <w:szCs w:val="20"/>
              </w:rPr>
            </w:pPr>
          </w:p>
        </w:tc>
        <w:tc>
          <w:tcPr>
            <w:tcW w:w="450"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2024 год</w:t>
            </w:r>
          </w:p>
        </w:tc>
        <w:tc>
          <w:tcPr>
            <w:tcW w:w="450"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2025 год</w:t>
            </w:r>
          </w:p>
        </w:tc>
        <w:tc>
          <w:tcPr>
            <w:tcW w:w="450"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2026 год</w:t>
            </w:r>
          </w:p>
        </w:tc>
        <w:tc>
          <w:tcPr>
            <w:tcW w:w="450"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2027 год</w:t>
            </w:r>
          </w:p>
        </w:tc>
        <w:tc>
          <w:tcPr>
            <w:tcW w:w="450"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2028 год</w:t>
            </w:r>
          </w:p>
        </w:tc>
        <w:tc>
          <w:tcPr>
            <w:tcW w:w="449"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2029-2034 годы</w:t>
            </w:r>
          </w:p>
        </w:tc>
      </w:tr>
      <w:tr w:rsidR="00171D1D" w:rsidRPr="00592BA7" w:rsidTr="00592BA7">
        <w:trPr>
          <w:trHeight w:val="20"/>
        </w:trPr>
        <w:tc>
          <w:tcPr>
            <w:tcW w:w="224"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1</w:t>
            </w:r>
          </w:p>
        </w:tc>
        <w:tc>
          <w:tcPr>
            <w:tcW w:w="1245"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Электроснабжение</w:t>
            </w:r>
          </w:p>
        </w:tc>
        <w:tc>
          <w:tcPr>
            <w:tcW w:w="832"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руб./кВт*ч</w:t>
            </w:r>
          </w:p>
        </w:tc>
        <w:tc>
          <w:tcPr>
            <w:tcW w:w="450"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3,89</w:t>
            </w:r>
          </w:p>
        </w:tc>
        <w:tc>
          <w:tcPr>
            <w:tcW w:w="450"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4,07</w:t>
            </w:r>
          </w:p>
        </w:tc>
        <w:tc>
          <w:tcPr>
            <w:tcW w:w="450"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4,26</w:t>
            </w:r>
          </w:p>
        </w:tc>
        <w:tc>
          <w:tcPr>
            <w:tcW w:w="450"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4,46</w:t>
            </w:r>
          </w:p>
        </w:tc>
        <w:tc>
          <w:tcPr>
            <w:tcW w:w="450"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4,67</w:t>
            </w:r>
          </w:p>
        </w:tc>
        <w:tc>
          <w:tcPr>
            <w:tcW w:w="449"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5,78</w:t>
            </w:r>
          </w:p>
        </w:tc>
      </w:tr>
      <w:tr w:rsidR="00171D1D" w:rsidRPr="00592BA7" w:rsidTr="00592BA7">
        <w:trPr>
          <w:trHeight w:val="20"/>
        </w:trPr>
        <w:tc>
          <w:tcPr>
            <w:tcW w:w="224"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w:t>
            </w:r>
          </w:p>
        </w:tc>
        <w:tc>
          <w:tcPr>
            <w:tcW w:w="1245"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Теплоснабжение</w:t>
            </w:r>
          </w:p>
        </w:tc>
        <w:tc>
          <w:tcPr>
            <w:tcW w:w="832"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руб./Гкал</w:t>
            </w:r>
          </w:p>
        </w:tc>
        <w:tc>
          <w:tcPr>
            <w:tcW w:w="450"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2143,08</w:t>
            </w:r>
          </w:p>
        </w:tc>
        <w:tc>
          <w:tcPr>
            <w:tcW w:w="450"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2243,42</w:t>
            </w:r>
          </w:p>
        </w:tc>
        <w:tc>
          <w:tcPr>
            <w:tcW w:w="450"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2348,46</w:t>
            </w:r>
          </w:p>
        </w:tc>
        <w:tc>
          <w:tcPr>
            <w:tcW w:w="450"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2458,41</w:t>
            </w:r>
          </w:p>
        </w:tc>
        <w:tc>
          <w:tcPr>
            <w:tcW w:w="450"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2573,51</w:t>
            </w:r>
          </w:p>
        </w:tc>
        <w:tc>
          <w:tcPr>
            <w:tcW w:w="449"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3181,89</w:t>
            </w:r>
          </w:p>
        </w:tc>
      </w:tr>
      <w:tr w:rsidR="00171D1D" w:rsidRPr="00592BA7" w:rsidTr="00592BA7">
        <w:trPr>
          <w:trHeight w:val="20"/>
        </w:trPr>
        <w:tc>
          <w:tcPr>
            <w:tcW w:w="224"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w:t>
            </w:r>
          </w:p>
        </w:tc>
        <w:tc>
          <w:tcPr>
            <w:tcW w:w="1245"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Газоснабжение</w:t>
            </w:r>
          </w:p>
        </w:tc>
        <w:tc>
          <w:tcPr>
            <w:tcW w:w="832"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руб./куб.м.</w:t>
            </w:r>
          </w:p>
        </w:tc>
        <w:tc>
          <w:tcPr>
            <w:tcW w:w="450"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7,42</w:t>
            </w:r>
          </w:p>
        </w:tc>
        <w:tc>
          <w:tcPr>
            <w:tcW w:w="450"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7,77</w:t>
            </w:r>
          </w:p>
        </w:tc>
        <w:tc>
          <w:tcPr>
            <w:tcW w:w="450"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8,13</w:t>
            </w:r>
          </w:p>
        </w:tc>
        <w:tc>
          <w:tcPr>
            <w:tcW w:w="450"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8,51</w:t>
            </w:r>
          </w:p>
        </w:tc>
        <w:tc>
          <w:tcPr>
            <w:tcW w:w="450"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8,91</w:t>
            </w:r>
          </w:p>
        </w:tc>
        <w:tc>
          <w:tcPr>
            <w:tcW w:w="449"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11,02</w:t>
            </w:r>
          </w:p>
        </w:tc>
      </w:tr>
      <w:tr w:rsidR="00171D1D" w:rsidRPr="00592BA7" w:rsidTr="00592BA7">
        <w:trPr>
          <w:trHeight w:val="20"/>
        </w:trPr>
        <w:tc>
          <w:tcPr>
            <w:tcW w:w="224"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w:t>
            </w:r>
          </w:p>
        </w:tc>
        <w:tc>
          <w:tcPr>
            <w:tcW w:w="1245"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Водоснабжение</w:t>
            </w:r>
          </w:p>
        </w:tc>
        <w:tc>
          <w:tcPr>
            <w:tcW w:w="832"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руб./куб.м.</w:t>
            </w:r>
          </w:p>
        </w:tc>
        <w:tc>
          <w:tcPr>
            <w:tcW w:w="450"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37,51</w:t>
            </w:r>
          </w:p>
        </w:tc>
        <w:tc>
          <w:tcPr>
            <w:tcW w:w="450"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39,27</w:t>
            </w:r>
          </w:p>
        </w:tc>
        <w:tc>
          <w:tcPr>
            <w:tcW w:w="450"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41,10</w:t>
            </w:r>
          </w:p>
        </w:tc>
        <w:tc>
          <w:tcPr>
            <w:tcW w:w="450"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43,03</w:t>
            </w:r>
          </w:p>
        </w:tc>
        <w:tc>
          <w:tcPr>
            <w:tcW w:w="450"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45,04</w:t>
            </w:r>
          </w:p>
        </w:tc>
        <w:tc>
          <w:tcPr>
            <w:tcW w:w="449"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55,69</w:t>
            </w:r>
          </w:p>
        </w:tc>
      </w:tr>
      <w:tr w:rsidR="00171D1D" w:rsidRPr="00592BA7" w:rsidTr="00592BA7">
        <w:trPr>
          <w:trHeight w:val="20"/>
        </w:trPr>
        <w:tc>
          <w:tcPr>
            <w:tcW w:w="224"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5</w:t>
            </w:r>
          </w:p>
        </w:tc>
        <w:tc>
          <w:tcPr>
            <w:tcW w:w="1245"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Водоотведение </w:t>
            </w:r>
          </w:p>
        </w:tc>
        <w:tc>
          <w:tcPr>
            <w:tcW w:w="832"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руб./куб.м.</w:t>
            </w:r>
          </w:p>
        </w:tc>
        <w:tc>
          <w:tcPr>
            <w:tcW w:w="450"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27,29</w:t>
            </w:r>
          </w:p>
        </w:tc>
        <w:tc>
          <w:tcPr>
            <w:tcW w:w="450"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28,57</w:t>
            </w:r>
          </w:p>
        </w:tc>
        <w:tc>
          <w:tcPr>
            <w:tcW w:w="450"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29,91</w:t>
            </w:r>
          </w:p>
        </w:tc>
        <w:tc>
          <w:tcPr>
            <w:tcW w:w="450"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31,31</w:t>
            </w:r>
          </w:p>
        </w:tc>
        <w:tc>
          <w:tcPr>
            <w:tcW w:w="450"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32,77</w:t>
            </w:r>
          </w:p>
        </w:tc>
        <w:tc>
          <w:tcPr>
            <w:tcW w:w="449"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40,52</w:t>
            </w:r>
          </w:p>
        </w:tc>
      </w:tr>
      <w:tr w:rsidR="00171D1D" w:rsidRPr="00592BA7" w:rsidTr="00592BA7">
        <w:trPr>
          <w:trHeight w:val="20"/>
        </w:trPr>
        <w:tc>
          <w:tcPr>
            <w:tcW w:w="224"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w:t>
            </w:r>
          </w:p>
        </w:tc>
        <w:tc>
          <w:tcPr>
            <w:tcW w:w="1245"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Система по обращению с ТКО</w:t>
            </w:r>
          </w:p>
        </w:tc>
        <w:tc>
          <w:tcPr>
            <w:tcW w:w="832"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руб./куб.м.</w:t>
            </w:r>
          </w:p>
        </w:tc>
        <w:tc>
          <w:tcPr>
            <w:tcW w:w="450"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409,61</w:t>
            </w:r>
          </w:p>
        </w:tc>
        <w:tc>
          <w:tcPr>
            <w:tcW w:w="450"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428,79</w:t>
            </w:r>
          </w:p>
        </w:tc>
        <w:tc>
          <w:tcPr>
            <w:tcW w:w="450"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448,86</w:t>
            </w:r>
          </w:p>
        </w:tc>
        <w:tc>
          <w:tcPr>
            <w:tcW w:w="450"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469,88</w:t>
            </w:r>
          </w:p>
        </w:tc>
        <w:tc>
          <w:tcPr>
            <w:tcW w:w="450"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491,88</w:t>
            </w:r>
          </w:p>
        </w:tc>
        <w:tc>
          <w:tcPr>
            <w:tcW w:w="449"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608,16</w:t>
            </w:r>
          </w:p>
        </w:tc>
      </w:tr>
      <w:bookmarkEnd w:id="3"/>
    </w:tbl>
    <w:p w:rsidR="00171D1D" w:rsidRPr="00592BA7" w:rsidRDefault="00171D1D" w:rsidP="00592BA7">
      <w:pPr>
        <w:jc w:val="both"/>
        <w:rPr>
          <w:rFonts w:ascii="Times New Roman" w:hAnsi="Times New Roman" w:cs="Times New Roman"/>
          <w:sz w:val="20"/>
          <w:szCs w:val="20"/>
        </w:rPr>
      </w:pP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16.1. Расчет прогнозного совокупного платежа населения муниципального образования за коммунальные ресурсы на основе прогноза спроса с учетом энергоресурсосбережения и тарифов (платы (тарифа) за подключение (присоединение)) без учета льгот и субсидий</w:t>
      </w:r>
    </w:p>
    <w:p w:rsidR="00171D1D" w:rsidRPr="00592BA7" w:rsidRDefault="00171D1D" w:rsidP="00592BA7">
      <w:pPr>
        <w:jc w:val="both"/>
        <w:rPr>
          <w:rFonts w:ascii="Times New Roman" w:hAnsi="Times New Roman" w:cs="Times New Roman"/>
          <w:sz w:val="20"/>
          <w:szCs w:val="20"/>
        </w:rPr>
      </w:pPr>
    </w:p>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Для прогноза максимальных расходов населения на коммунальные услуги выполнен расчет величины платы за коммунальные услуги по нормативам потребления, исходными данными для которого приняты данные для однокомнатной квартиры, расположенной в благоустроенном многоквартирном доме, в которой проживает 1 человек. В доме оборудована газовая плита, присутствует централизованное холодное водоснабжение и водоотведение с ванной, раковиной, унитазом, мойкой кухонной. </w:t>
      </w:r>
    </w:p>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Приняты средние утвержденные тарифы на 2024 год и прогнозные тарифы до 2034 года. Расчеты для последующих периодов (2025-2034 годы) проведены аналогично, с учетом роста тарифов при сохранении потребления ресурсов на текущем уровне.</w:t>
      </w:r>
    </w:p>
    <w:p w:rsidR="00171D1D" w:rsidRPr="00592BA7" w:rsidRDefault="00171D1D" w:rsidP="00592BA7">
      <w:pPr>
        <w:jc w:val="both"/>
        <w:rPr>
          <w:rFonts w:ascii="Times New Roman" w:hAnsi="Times New Roman" w:cs="Times New Roman"/>
          <w:sz w:val="20"/>
          <w:szCs w:val="20"/>
          <w:lang w:eastAsia="ru-RU"/>
        </w:rPr>
      </w:pPr>
    </w:p>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Таблица 16.1.1 </w:t>
      </w:r>
    </w:p>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Расчет изменения совокупного платежа населения до 2034 года в соответствии с прогнозным размером индексации совокупного платежа граждан за коммунальные услуги, установленным Правительством РФ</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1"/>
        <w:gridCol w:w="2273"/>
        <w:gridCol w:w="1590"/>
        <w:gridCol w:w="902"/>
        <w:gridCol w:w="902"/>
        <w:gridCol w:w="902"/>
        <w:gridCol w:w="902"/>
        <w:gridCol w:w="902"/>
        <w:gridCol w:w="916"/>
      </w:tblGrid>
      <w:tr w:rsidR="00171D1D" w:rsidRPr="00592BA7" w:rsidTr="00592BA7">
        <w:trPr>
          <w:trHeight w:val="20"/>
        </w:trPr>
        <w:tc>
          <w:tcPr>
            <w:tcW w:w="232" w:type="pct"/>
            <w:vMerge w:val="restar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пп</w:t>
            </w:r>
          </w:p>
        </w:tc>
        <w:tc>
          <w:tcPr>
            <w:tcW w:w="1167" w:type="pct"/>
            <w:vMerge w:val="restar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Вид коммунальной услуги</w:t>
            </w:r>
          </w:p>
        </w:tc>
        <w:tc>
          <w:tcPr>
            <w:tcW w:w="816" w:type="pct"/>
            <w:vMerge w:val="restar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Ед. изм.</w:t>
            </w:r>
          </w:p>
        </w:tc>
        <w:tc>
          <w:tcPr>
            <w:tcW w:w="2786" w:type="pct"/>
            <w:gridSpan w:val="6"/>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Прогнозные значения</w:t>
            </w:r>
          </w:p>
        </w:tc>
      </w:tr>
      <w:tr w:rsidR="00171D1D" w:rsidRPr="00592BA7" w:rsidTr="00592BA7">
        <w:trPr>
          <w:trHeight w:val="20"/>
        </w:trPr>
        <w:tc>
          <w:tcPr>
            <w:tcW w:w="232" w:type="pct"/>
            <w:vMerge/>
            <w:shd w:val="clear" w:color="auto" w:fill="auto"/>
            <w:vAlign w:val="center"/>
          </w:tcPr>
          <w:p w:rsidR="00171D1D" w:rsidRPr="00592BA7" w:rsidRDefault="00171D1D" w:rsidP="00592BA7">
            <w:pPr>
              <w:jc w:val="both"/>
              <w:rPr>
                <w:rFonts w:ascii="Times New Roman" w:hAnsi="Times New Roman" w:cs="Times New Roman"/>
                <w:sz w:val="20"/>
                <w:szCs w:val="20"/>
              </w:rPr>
            </w:pPr>
          </w:p>
        </w:tc>
        <w:tc>
          <w:tcPr>
            <w:tcW w:w="1167" w:type="pct"/>
            <w:vMerge/>
            <w:shd w:val="clear" w:color="auto" w:fill="auto"/>
            <w:vAlign w:val="center"/>
          </w:tcPr>
          <w:p w:rsidR="00171D1D" w:rsidRPr="00592BA7" w:rsidRDefault="00171D1D" w:rsidP="00592BA7">
            <w:pPr>
              <w:jc w:val="both"/>
              <w:rPr>
                <w:rFonts w:ascii="Times New Roman" w:hAnsi="Times New Roman" w:cs="Times New Roman"/>
                <w:sz w:val="20"/>
                <w:szCs w:val="20"/>
              </w:rPr>
            </w:pPr>
          </w:p>
        </w:tc>
        <w:tc>
          <w:tcPr>
            <w:tcW w:w="816" w:type="pct"/>
            <w:vMerge/>
            <w:shd w:val="clear" w:color="auto" w:fill="auto"/>
            <w:vAlign w:val="center"/>
          </w:tcPr>
          <w:p w:rsidR="00171D1D" w:rsidRPr="00592BA7" w:rsidRDefault="00171D1D" w:rsidP="00592BA7">
            <w:pPr>
              <w:jc w:val="both"/>
              <w:rPr>
                <w:rFonts w:ascii="Times New Roman" w:hAnsi="Times New Roman" w:cs="Times New Roman"/>
                <w:sz w:val="20"/>
                <w:szCs w:val="20"/>
              </w:rPr>
            </w:pPr>
          </w:p>
        </w:tc>
        <w:tc>
          <w:tcPr>
            <w:tcW w:w="463"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2024 год</w:t>
            </w:r>
          </w:p>
        </w:tc>
        <w:tc>
          <w:tcPr>
            <w:tcW w:w="463"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2025 год</w:t>
            </w:r>
          </w:p>
        </w:tc>
        <w:tc>
          <w:tcPr>
            <w:tcW w:w="463"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2026 год</w:t>
            </w:r>
          </w:p>
        </w:tc>
        <w:tc>
          <w:tcPr>
            <w:tcW w:w="463"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2027 год</w:t>
            </w:r>
          </w:p>
        </w:tc>
        <w:tc>
          <w:tcPr>
            <w:tcW w:w="463"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2028 год</w:t>
            </w:r>
          </w:p>
        </w:tc>
        <w:tc>
          <w:tcPr>
            <w:tcW w:w="472"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2029-2034 годы</w:t>
            </w:r>
          </w:p>
        </w:tc>
      </w:tr>
      <w:tr w:rsidR="00171D1D" w:rsidRPr="00592BA7" w:rsidTr="00592BA7">
        <w:trPr>
          <w:trHeight w:val="20"/>
        </w:trPr>
        <w:tc>
          <w:tcPr>
            <w:tcW w:w="232" w:type="pct"/>
            <w:shd w:val="clear" w:color="auto" w:fill="auto"/>
            <w:vAlign w:val="center"/>
          </w:tcPr>
          <w:p w:rsidR="00171D1D" w:rsidRPr="00592BA7" w:rsidRDefault="00171D1D" w:rsidP="00592BA7">
            <w:pPr>
              <w:jc w:val="both"/>
              <w:rPr>
                <w:rFonts w:ascii="Times New Roman" w:hAnsi="Times New Roman" w:cs="Times New Roman"/>
                <w:sz w:val="20"/>
                <w:szCs w:val="20"/>
              </w:rPr>
            </w:pPr>
          </w:p>
        </w:tc>
        <w:tc>
          <w:tcPr>
            <w:tcW w:w="1167"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Совокупный платеж за коммунальные услуги</w:t>
            </w:r>
          </w:p>
        </w:tc>
        <w:tc>
          <w:tcPr>
            <w:tcW w:w="816"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руб. в месяц</w:t>
            </w:r>
          </w:p>
        </w:tc>
        <w:tc>
          <w:tcPr>
            <w:tcW w:w="463"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2628,80</w:t>
            </w:r>
          </w:p>
        </w:tc>
        <w:tc>
          <w:tcPr>
            <w:tcW w:w="463"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2751,89</w:t>
            </w:r>
          </w:p>
        </w:tc>
        <w:tc>
          <w:tcPr>
            <w:tcW w:w="463"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2880,72</w:t>
            </w:r>
          </w:p>
        </w:tc>
        <w:tc>
          <w:tcPr>
            <w:tcW w:w="463"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3015,60</w:t>
            </w:r>
          </w:p>
        </w:tc>
        <w:tc>
          <w:tcPr>
            <w:tcW w:w="463"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3156,78</w:t>
            </w:r>
          </w:p>
        </w:tc>
        <w:tc>
          <w:tcPr>
            <w:tcW w:w="472"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3903,06</w:t>
            </w:r>
          </w:p>
        </w:tc>
      </w:tr>
      <w:tr w:rsidR="00171D1D" w:rsidRPr="00592BA7" w:rsidTr="00592BA7">
        <w:trPr>
          <w:trHeight w:val="20"/>
        </w:trPr>
        <w:tc>
          <w:tcPr>
            <w:tcW w:w="232"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w:t>
            </w:r>
          </w:p>
        </w:tc>
        <w:tc>
          <w:tcPr>
            <w:tcW w:w="1167"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Электроснабжение</w:t>
            </w:r>
          </w:p>
        </w:tc>
        <w:tc>
          <w:tcPr>
            <w:tcW w:w="816"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руб./кВт*ч</w:t>
            </w:r>
          </w:p>
        </w:tc>
        <w:tc>
          <w:tcPr>
            <w:tcW w:w="463"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3,89</w:t>
            </w:r>
          </w:p>
        </w:tc>
        <w:tc>
          <w:tcPr>
            <w:tcW w:w="463"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4,07</w:t>
            </w:r>
          </w:p>
        </w:tc>
        <w:tc>
          <w:tcPr>
            <w:tcW w:w="463"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4,26</w:t>
            </w:r>
          </w:p>
        </w:tc>
        <w:tc>
          <w:tcPr>
            <w:tcW w:w="463"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4,46</w:t>
            </w:r>
          </w:p>
        </w:tc>
        <w:tc>
          <w:tcPr>
            <w:tcW w:w="463"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4,67</w:t>
            </w:r>
          </w:p>
        </w:tc>
        <w:tc>
          <w:tcPr>
            <w:tcW w:w="472"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5,78</w:t>
            </w:r>
          </w:p>
        </w:tc>
      </w:tr>
      <w:tr w:rsidR="00171D1D" w:rsidRPr="00592BA7" w:rsidTr="00592BA7">
        <w:trPr>
          <w:trHeight w:val="20"/>
        </w:trPr>
        <w:tc>
          <w:tcPr>
            <w:tcW w:w="232" w:type="pct"/>
            <w:shd w:val="clear" w:color="auto" w:fill="auto"/>
            <w:vAlign w:val="center"/>
          </w:tcPr>
          <w:p w:rsidR="00171D1D" w:rsidRPr="00592BA7" w:rsidRDefault="00171D1D" w:rsidP="00592BA7">
            <w:pPr>
              <w:jc w:val="both"/>
              <w:rPr>
                <w:rFonts w:ascii="Times New Roman" w:hAnsi="Times New Roman" w:cs="Times New Roman"/>
                <w:sz w:val="20"/>
                <w:szCs w:val="20"/>
              </w:rPr>
            </w:pPr>
          </w:p>
        </w:tc>
        <w:tc>
          <w:tcPr>
            <w:tcW w:w="1167"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Норматив потребления</w:t>
            </w:r>
          </w:p>
        </w:tc>
        <w:tc>
          <w:tcPr>
            <w:tcW w:w="816"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кВт*ч на 1 чел.</w:t>
            </w:r>
          </w:p>
        </w:tc>
        <w:tc>
          <w:tcPr>
            <w:tcW w:w="463"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79,2</w:t>
            </w:r>
          </w:p>
        </w:tc>
        <w:tc>
          <w:tcPr>
            <w:tcW w:w="463"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79,2</w:t>
            </w:r>
          </w:p>
        </w:tc>
        <w:tc>
          <w:tcPr>
            <w:tcW w:w="463"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79,2</w:t>
            </w:r>
          </w:p>
        </w:tc>
        <w:tc>
          <w:tcPr>
            <w:tcW w:w="463"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79,2</w:t>
            </w:r>
          </w:p>
        </w:tc>
        <w:tc>
          <w:tcPr>
            <w:tcW w:w="463"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79,2</w:t>
            </w:r>
          </w:p>
        </w:tc>
        <w:tc>
          <w:tcPr>
            <w:tcW w:w="472"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79,2</w:t>
            </w:r>
          </w:p>
        </w:tc>
      </w:tr>
      <w:tr w:rsidR="00171D1D" w:rsidRPr="00592BA7" w:rsidTr="00592BA7">
        <w:trPr>
          <w:trHeight w:val="20"/>
        </w:trPr>
        <w:tc>
          <w:tcPr>
            <w:tcW w:w="232" w:type="pct"/>
            <w:shd w:val="clear" w:color="auto" w:fill="auto"/>
            <w:vAlign w:val="center"/>
          </w:tcPr>
          <w:p w:rsidR="00171D1D" w:rsidRPr="00592BA7" w:rsidRDefault="00171D1D" w:rsidP="00592BA7">
            <w:pPr>
              <w:jc w:val="both"/>
              <w:rPr>
                <w:rFonts w:ascii="Times New Roman" w:hAnsi="Times New Roman" w:cs="Times New Roman"/>
                <w:sz w:val="20"/>
                <w:szCs w:val="20"/>
              </w:rPr>
            </w:pPr>
          </w:p>
        </w:tc>
        <w:tc>
          <w:tcPr>
            <w:tcW w:w="1167"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Совокупный платеж</w:t>
            </w:r>
          </w:p>
        </w:tc>
        <w:tc>
          <w:tcPr>
            <w:tcW w:w="816"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руб./мес.</w:t>
            </w:r>
          </w:p>
        </w:tc>
        <w:tc>
          <w:tcPr>
            <w:tcW w:w="463" w:type="pct"/>
            <w:shd w:val="clear" w:color="auto" w:fill="auto"/>
            <w:vAlign w:val="bottom"/>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308,09</w:t>
            </w:r>
          </w:p>
        </w:tc>
        <w:tc>
          <w:tcPr>
            <w:tcW w:w="463" w:type="pct"/>
            <w:shd w:val="clear" w:color="auto" w:fill="auto"/>
            <w:vAlign w:val="bottom"/>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322,34</w:t>
            </w:r>
          </w:p>
        </w:tc>
        <w:tc>
          <w:tcPr>
            <w:tcW w:w="463" w:type="pct"/>
            <w:shd w:val="clear" w:color="auto" w:fill="auto"/>
            <w:vAlign w:val="bottom"/>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337,39</w:t>
            </w:r>
          </w:p>
        </w:tc>
        <w:tc>
          <w:tcPr>
            <w:tcW w:w="463" w:type="pct"/>
            <w:shd w:val="clear" w:color="auto" w:fill="auto"/>
            <w:vAlign w:val="bottom"/>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353,23</w:t>
            </w:r>
          </w:p>
        </w:tc>
        <w:tc>
          <w:tcPr>
            <w:tcW w:w="463" w:type="pct"/>
            <w:shd w:val="clear" w:color="auto" w:fill="auto"/>
            <w:vAlign w:val="bottom"/>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369,86</w:t>
            </w:r>
          </w:p>
        </w:tc>
        <w:tc>
          <w:tcPr>
            <w:tcW w:w="472" w:type="pct"/>
            <w:shd w:val="clear" w:color="auto" w:fill="auto"/>
            <w:vAlign w:val="bottom"/>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457,78</w:t>
            </w:r>
          </w:p>
        </w:tc>
      </w:tr>
      <w:tr w:rsidR="00171D1D" w:rsidRPr="00592BA7" w:rsidTr="00592BA7">
        <w:trPr>
          <w:trHeight w:val="20"/>
        </w:trPr>
        <w:tc>
          <w:tcPr>
            <w:tcW w:w="232"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w:t>
            </w:r>
          </w:p>
        </w:tc>
        <w:tc>
          <w:tcPr>
            <w:tcW w:w="1167"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Теплоснабжение</w:t>
            </w:r>
          </w:p>
        </w:tc>
        <w:tc>
          <w:tcPr>
            <w:tcW w:w="816"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руб./Гкал</w:t>
            </w:r>
          </w:p>
        </w:tc>
        <w:tc>
          <w:tcPr>
            <w:tcW w:w="463"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2143,08</w:t>
            </w:r>
          </w:p>
        </w:tc>
        <w:tc>
          <w:tcPr>
            <w:tcW w:w="463"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2243,42</w:t>
            </w:r>
          </w:p>
        </w:tc>
        <w:tc>
          <w:tcPr>
            <w:tcW w:w="463"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2348,46</w:t>
            </w:r>
          </w:p>
        </w:tc>
        <w:tc>
          <w:tcPr>
            <w:tcW w:w="463"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2458,41</w:t>
            </w:r>
          </w:p>
        </w:tc>
        <w:tc>
          <w:tcPr>
            <w:tcW w:w="463"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2573,51</w:t>
            </w:r>
          </w:p>
        </w:tc>
        <w:tc>
          <w:tcPr>
            <w:tcW w:w="472"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3181,89</w:t>
            </w:r>
          </w:p>
        </w:tc>
      </w:tr>
      <w:tr w:rsidR="00171D1D" w:rsidRPr="00592BA7" w:rsidTr="00592BA7">
        <w:trPr>
          <w:trHeight w:val="20"/>
        </w:trPr>
        <w:tc>
          <w:tcPr>
            <w:tcW w:w="232" w:type="pct"/>
            <w:shd w:val="clear" w:color="auto" w:fill="auto"/>
            <w:vAlign w:val="center"/>
          </w:tcPr>
          <w:p w:rsidR="00171D1D" w:rsidRPr="00592BA7" w:rsidRDefault="00171D1D" w:rsidP="00592BA7">
            <w:pPr>
              <w:jc w:val="both"/>
              <w:rPr>
                <w:rFonts w:ascii="Times New Roman" w:hAnsi="Times New Roman" w:cs="Times New Roman"/>
                <w:sz w:val="20"/>
                <w:szCs w:val="20"/>
              </w:rPr>
            </w:pPr>
          </w:p>
        </w:tc>
        <w:tc>
          <w:tcPr>
            <w:tcW w:w="1167"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Норматив потребления (средний)</w:t>
            </w:r>
          </w:p>
        </w:tc>
        <w:tc>
          <w:tcPr>
            <w:tcW w:w="816"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Гкал/кв.м.</w:t>
            </w:r>
          </w:p>
        </w:tc>
        <w:tc>
          <w:tcPr>
            <w:tcW w:w="463"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0,0238</w:t>
            </w:r>
          </w:p>
        </w:tc>
        <w:tc>
          <w:tcPr>
            <w:tcW w:w="463"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0,0238</w:t>
            </w:r>
          </w:p>
        </w:tc>
        <w:tc>
          <w:tcPr>
            <w:tcW w:w="463"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0,0238</w:t>
            </w:r>
          </w:p>
        </w:tc>
        <w:tc>
          <w:tcPr>
            <w:tcW w:w="463"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0,0238</w:t>
            </w:r>
          </w:p>
        </w:tc>
        <w:tc>
          <w:tcPr>
            <w:tcW w:w="463"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0,0238</w:t>
            </w:r>
          </w:p>
        </w:tc>
        <w:tc>
          <w:tcPr>
            <w:tcW w:w="472"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0,0238</w:t>
            </w:r>
          </w:p>
        </w:tc>
      </w:tr>
      <w:tr w:rsidR="00171D1D" w:rsidRPr="00592BA7" w:rsidTr="00592BA7">
        <w:trPr>
          <w:trHeight w:val="20"/>
        </w:trPr>
        <w:tc>
          <w:tcPr>
            <w:tcW w:w="232" w:type="pct"/>
            <w:shd w:val="clear" w:color="auto" w:fill="auto"/>
            <w:vAlign w:val="center"/>
          </w:tcPr>
          <w:p w:rsidR="00171D1D" w:rsidRPr="00592BA7" w:rsidRDefault="00171D1D" w:rsidP="00592BA7">
            <w:pPr>
              <w:jc w:val="both"/>
              <w:rPr>
                <w:rFonts w:ascii="Times New Roman" w:hAnsi="Times New Roman" w:cs="Times New Roman"/>
                <w:sz w:val="20"/>
                <w:szCs w:val="20"/>
              </w:rPr>
            </w:pPr>
          </w:p>
        </w:tc>
        <w:tc>
          <w:tcPr>
            <w:tcW w:w="1167"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Совокупный платеж</w:t>
            </w:r>
          </w:p>
        </w:tc>
        <w:tc>
          <w:tcPr>
            <w:tcW w:w="816"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руб./мес.</w:t>
            </w:r>
          </w:p>
        </w:tc>
        <w:tc>
          <w:tcPr>
            <w:tcW w:w="463" w:type="pct"/>
            <w:shd w:val="clear" w:color="auto" w:fill="auto"/>
            <w:vAlign w:val="bottom"/>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2132,02</w:t>
            </w:r>
          </w:p>
        </w:tc>
        <w:tc>
          <w:tcPr>
            <w:tcW w:w="463" w:type="pct"/>
            <w:shd w:val="clear" w:color="auto" w:fill="auto"/>
            <w:vAlign w:val="bottom"/>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2231,84</w:t>
            </w:r>
          </w:p>
        </w:tc>
        <w:tc>
          <w:tcPr>
            <w:tcW w:w="463" w:type="pct"/>
            <w:shd w:val="clear" w:color="auto" w:fill="auto"/>
            <w:vAlign w:val="bottom"/>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2336,34</w:t>
            </w:r>
          </w:p>
        </w:tc>
        <w:tc>
          <w:tcPr>
            <w:tcW w:w="463" w:type="pct"/>
            <w:shd w:val="clear" w:color="auto" w:fill="auto"/>
            <w:vAlign w:val="bottom"/>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2445,72</w:t>
            </w:r>
          </w:p>
        </w:tc>
        <w:tc>
          <w:tcPr>
            <w:tcW w:w="463" w:type="pct"/>
            <w:shd w:val="clear" w:color="auto" w:fill="auto"/>
            <w:vAlign w:val="bottom"/>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2560,23</w:t>
            </w:r>
          </w:p>
        </w:tc>
        <w:tc>
          <w:tcPr>
            <w:tcW w:w="472" w:type="pct"/>
            <w:shd w:val="clear" w:color="auto" w:fill="auto"/>
            <w:vAlign w:val="bottom"/>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3165,47</w:t>
            </w:r>
          </w:p>
        </w:tc>
      </w:tr>
      <w:tr w:rsidR="00171D1D" w:rsidRPr="00592BA7" w:rsidTr="00592BA7">
        <w:trPr>
          <w:trHeight w:val="20"/>
        </w:trPr>
        <w:tc>
          <w:tcPr>
            <w:tcW w:w="232"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3</w:t>
            </w:r>
          </w:p>
        </w:tc>
        <w:tc>
          <w:tcPr>
            <w:tcW w:w="1167"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Водоснабжение</w:t>
            </w:r>
          </w:p>
        </w:tc>
        <w:tc>
          <w:tcPr>
            <w:tcW w:w="816"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руб./куб.м.</w:t>
            </w:r>
          </w:p>
        </w:tc>
        <w:tc>
          <w:tcPr>
            <w:tcW w:w="463"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37,51</w:t>
            </w:r>
          </w:p>
        </w:tc>
        <w:tc>
          <w:tcPr>
            <w:tcW w:w="463"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39,27</w:t>
            </w:r>
          </w:p>
        </w:tc>
        <w:tc>
          <w:tcPr>
            <w:tcW w:w="463"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41,10</w:t>
            </w:r>
          </w:p>
        </w:tc>
        <w:tc>
          <w:tcPr>
            <w:tcW w:w="463"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43,03</w:t>
            </w:r>
          </w:p>
        </w:tc>
        <w:tc>
          <w:tcPr>
            <w:tcW w:w="463"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45,04</w:t>
            </w:r>
          </w:p>
        </w:tc>
        <w:tc>
          <w:tcPr>
            <w:tcW w:w="472"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55,69</w:t>
            </w:r>
          </w:p>
        </w:tc>
      </w:tr>
      <w:tr w:rsidR="00171D1D" w:rsidRPr="00592BA7" w:rsidTr="00592BA7">
        <w:trPr>
          <w:trHeight w:val="20"/>
        </w:trPr>
        <w:tc>
          <w:tcPr>
            <w:tcW w:w="232" w:type="pct"/>
            <w:shd w:val="clear" w:color="auto" w:fill="auto"/>
            <w:vAlign w:val="center"/>
          </w:tcPr>
          <w:p w:rsidR="00171D1D" w:rsidRPr="00592BA7" w:rsidRDefault="00171D1D" w:rsidP="00592BA7">
            <w:pPr>
              <w:jc w:val="both"/>
              <w:rPr>
                <w:rFonts w:ascii="Times New Roman" w:hAnsi="Times New Roman" w:cs="Times New Roman"/>
                <w:sz w:val="20"/>
                <w:szCs w:val="20"/>
              </w:rPr>
            </w:pPr>
          </w:p>
        </w:tc>
        <w:tc>
          <w:tcPr>
            <w:tcW w:w="1167"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Норматив потребления</w:t>
            </w:r>
          </w:p>
        </w:tc>
        <w:tc>
          <w:tcPr>
            <w:tcW w:w="816"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куб.м./1 проживающего</w:t>
            </w:r>
          </w:p>
        </w:tc>
        <w:tc>
          <w:tcPr>
            <w:tcW w:w="463"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7,363</w:t>
            </w:r>
          </w:p>
        </w:tc>
        <w:tc>
          <w:tcPr>
            <w:tcW w:w="463"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7,363</w:t>
            </w:r>
          </w:p>
        </w:tc>
        <w:tc>
          <w:tcPr>
            <w:tcW w:w="463"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7,363</w:t>
            </w:r>
          </w:p>
        </w:tc>
        <w:tc>
          <w:tcPr>
            <w:tcW w:w="463"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7,363</w:t>
            </w:r>
          </w:p>
        </w:tc>
        <w:tc>
          <w:tcPr>
            <w:tcW w:w="463"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7,363</w:t>
            </w:r>
          </w:p>
        </w:tc>
        <w:tc>
          <w:tcPr>
            <w:tcW w:w="472"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7,363</w:t>
            </w:r>
          </w:p>
        </w:tc>
      </w:tr>
      <w:tr w:rsidR="00171D1D" w:rsidRPr="00592BA7" w:rsidTr="00592BA7">
        <w:trPr>
          <w:trHeight w:val="20"/>
        </w:trPr>
        <w:tc>
          <w:tcPr>
            <w:tcW w:w="232" w:type="pct"/>
            <w:shd w:val="clear" w:color="auto" w:fill="auto"/>
            <w:vAlign w:val="center"/>
          </w:tcPr>
          <w:p w:rsidR="00171D1D" w:rsidRPr="00592BA7" w:rsidRDefault="00171D1D" w:rsidP="00592BA7">
            <w:pPr>
              <w:jc w:val="both"/>
              <w:rPr>
                <w:rFonts w:ascii="Times New Roman" w:hAnsi="Times New Roman" w:cs="Times New Roman"/>
                <w:sz w:val="20"/>
                <w:szCs w:val="20"/>
              </w:rPr>
            </w:pPr>
          </w:p>
        </w:tc>
        <w:tc>
          <w:tcPr>
            <w:tcW w:w="1167"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Совокупный платеж</w:t>
            </w:r>
          </w:p>
        </w:tc>
        <w:tc>
          <w:tcPr>
            <w:tcW w:w="816"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руб./мес.</w:t>
            </w:r>
          </w:p>
        </w:tc>
        <w:tc>
          <w:tcPr>
            <w:tcW w:w="463" w:type="pct"/>
            <w:shd w:val="clear" w:color="auto" w:fill="auto"/>
            <w:vAlign w:val="bottom"/>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276,19</w:t>
            </w:r>
          </w:p>
        </w:tc>
        <w:tc>
          <w:tcPr>
            <w:tcW w:w="463" w:type="pct"/>
            <w:shd w:val="clear" w:color="auto" w:fill="auto"/>
            <w:vAlign w:val="bottom"/>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289,15</w:t>
            </w:r>
          </w:p>
        </w:tc>
        <w:tc>
          <w:tcPr>
            <w:tcW w:w="463" w:type="pct"/>
            <w:shd w:val="clear" w:color="auto" w:fill="auto"/>
            <w:vAlign w:val="bottom"/>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302,62</w:t>
            </w:r>
          </w:p>
        </w:tc>
        <w:tc>
          <w:tcPr>
            <w:tcW w:w="463" w:type="pct"/>
            <w:shd w:val="clear" w:color="auto" w:fill="auto"/>
            <w:vAlign w:val="bottom"/>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316,83</w:t>
            </w:r>
          </w:p>
        </w:tc>
        <w:tc>
          <w:tcPr>
            <w:tcW w:w="463" w:type="pct"/>
            <w:shd w:val="clear" w:color="auto" w:fill="auto"/>
            <w:vAlign w:val="bottom"/>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331,63</w:t>
            </w:r>
          </w:p>
        </w:tc>
        <w:tc>
          <w:tcPr>
            <w:tcW w:w="472" w:type="pct"/>
            <w:shd w:val="clear" w:color="auto" w:fill="auto"/>
            <w:vAlign w:val="bottom"/>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410,05</w:t>
            </w:r>
          </w:p>
        </w:tc>
      </w:tr>
      <w:tr w:rsidR="00171D1D" w:rsidRPr="00592BA7" w:rsidTr="00592BA7">
        <w:trPr>
          <w:trHeight w:val="20"/>
        </w:trPr>
        <w:tc>
          <w:tcPr>
            <w:tcW w:w="232"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w:t>
            </w:r>
          </w:p>
        </w:tc>
        <w:tc>
          <w:tcPr>
            <w:tcW w:w="1167"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Водоотведение </w:t>
            </w:r>
          </w:p>
        </w:tc>
        <w:tc>
          <w:tcPr>
            <w:tcW w:w="816"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руб./куб.м.</w:t>
            </w:r>
          </w:p>
        </w:tc>
        <w:tc>
          <w:tcPr>
            <w:tcW w:w="463"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27,29</w:t>
            </w:r>
          </w:p>
        </w:tc>
        <w:tc>
          <w:tcPr>
            <w:tcW w:w="463"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28,57</w:t>
            </w:r>
          </w:p>
        </w:tc>
        <w:tc>
          <w:tcPr>
            <w:tcW w:w="463"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29,91</w:t>
            </w:r>
          </w:p>
        </w:tc>
        <w:tc>
          <w:tcPr>
            <w:tcW w:w="463"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31,31</w:t>
            </w:r>
          </w:p>
        </w:tc>
        <w:tc>
          <w:tcPr>
            <w:tcW w:w="463"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32,77</w:t>
            </w:r>
          </w:p>
        </w:tc>
        <w:tc>
          <w:tcPr>
            <w:tcW w:w="472"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40,52</w:t>
            </w:r>
          </w:p>
        </w:tc>
      </w:tr>
      <w:tr w:rsidR="00171D1D" w:rsidRPr="00592BA7" w:rsidTr="00592BA7">
        <w:trPr>
          <w:trHeight w:val="20"/>
        </w:trPr>
        <w:tc>
          <w:tcPr>
            <w:tcW w:w="232" w:type="pct"/>
            <w:shd w:val="clear" w:color="auto" w:fill="auto"/>
            <w:vAlign w:val="center"/>
          </w:tcPr>
          <w:p w:rsidR="00171D1D" w:rsidRPr="00592BA7" w:rsidRDefault="00171D1D" w:rsidP="00592BA7">
            <w:pPr>
              <w:jc w:val="both"/>
              <w:rPr>
                <w:rFonts w:ascii="Times New Roman" w:hAnsi="Times New Roman" w:cs="Times New Roman"/>
                <w:sz w:val="20"/>
                <w:szCs w:val="20"/>
              </w:rPr>
            </w:pPr>
          </w:p>
        </w:tc>
        <w:tc>
          <w:tcPr>
            <w:tcW w:w="1167"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Норматив потребления</w:t>
            </w:r>
          </w:p>
        </w:tc>
        <w:tc>
          <w:tcPr>
            <w:tcW w:w="816"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куб.м./1 проживающего</w:t>
            </w:r>
          </w:p>
        </w:tc>
        <w:tc>
          <w:tcPr>
            <w:tcW w:w="463"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7,363</w:t>
            </w:r>
          </w:p>
        </w:tc>
        <w:tc>
          <w:tcPr>
            <w:tcW w:w="463"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7,363</w:t>
            </w:r>
          </w:p>
        </w:tc>
        <w:tc>
          <w:tcPr>
            <w:tcW w:w="463"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7,363</w:t>
            </w:r>
          </w:p>
        </w:tc>
        <w:tc>
          <w:tcPr>
            <w:tcW w:w="463"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7,363</w:t>
            </w:r>
          </w:p>
        </w:tc>
        <w:tc>
          <w:tcPr>
            <w:tcW w:w="463"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7,363</w:t>
            </w:r>
          </w:p>
        </w:tc>
        <w:tc>
          <w:tcPr>
            <w:tcW w:w="472"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7,363</w:t>
            </w:r>
          </w:p>
        </w:tc>
      </w:tr>
      <w:tr w:rsidR="00171D1D" w:rsidRPr="00592BA7" w:rsidTr="00592BA7">
        <w:trPr>
          <w:trHeight w:val="20"/>
        </w:trPr>
        <w:tc>
          <w:tcPr>
            <w:tcW w:w="232" w:type="pct"/>
            <w:shd w:val="clear" w:color="auto" w:fill="auto"/>
            <w:vAlign w:val="center"/>
          </w:tcPr>
          <w:p w:rsidR="00171D1D" w:rsidRPr="00592BA7" w:rsidRDefault="00171D1D" w:rsidP="00592BA7">
            <w:pPr>
              <w:jc w:val="both"/>
              <w:rPr>
                <w:rFonts w:ascii="Times New Roman" w:hAnsi="Times New Roman" w:cs="Times New Roman"/>
                <w:sz w:val="20"/>
                <w:szCs w:val="20"/>
              </w:rPr>
            </w:pPr>
          </w:p>
        </w:tc>
        <w:tc>
          <w:tcPr>
            <w:tcW w:w="1167"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Совокупный платеж</w:t>
            </w:r>
          </w:p>
        </w:tc>
        <w:tc>
          <w:tcPr>
            <w:tcW w:w="816"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руб./мес.</w:t>
            </w:r>
          </w:p>
        </w:tc>
        <w:tc>
          <w:tcPr>
            <w:tcW w:w="463" w:type="pct"/>
            <w:shd w:val="clear" w:color="auto" w:fill="auto"/>
            <w:vAlign w:val="bottom"/>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200,94</w:t>
            </w:r>
          </w:p>
        </w:tc>
        <w:tc>
          <w:tcPr>
            <w:tcW w:w="463" w:type="pct"/>
            <w:shd w:val="clear" w:color="auto" w:fill="auto"/>
            <w:vAlign w:val="bottom"/>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210,36</w:t>
            </w:r>
          </w:p>
        </w:tc>
        <w:tc>
          <w:tcPr>
            <w:tcW w:w="463" w:type="pct"/>
            <w:shd w:val="clear" w:color="auto" w:fill="auto"/>
            <w:vAlign w:val="bottom"/>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220,23</w:t>
            </w:r>
          </w:p>
        </w:tc>
        <w:tc>
          <w:tcPr>
            <w:tcW w:w="463" w:type="pct"/>
            <w:shd w:val="clear" w:color="auto" w:fill="auto"/>
            <w:vAlign w:val="bottom"/>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230,54</w:t>
            </w:r>
          </w:p>
        </w:tc>
        <w:tc>
          <w:tcPr>
            <w:tcW w:w="463" w:type="pct"/>
            <w:shd w:val="clear" w:color="auto" w:fill="auto"/>
            <w:vAlign w:val="bottom"/>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241,29</w:t>
            </w:r>
          </w:p>
        </w:tc>
        <w:tc>
          <w:tcPr>
            <w:tcW w:w="472" w:type="pct"/>
            <w:shd w:val="clear" w:color="auto" w:fill="auto"/>
            <w:vAlign w:val="bottom"/>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298,35</w:t>
            </w:r>
          </w:p>
        </w:tc>
      </w:tr>
      <w:tr w:rsidR="00171D1D" w:rsidRPr="00592BA7" w:rsidTr="00592BA7">
        <w:trPr>
          <w:trHeight w:val="20"/>
        </w:trPr>
        <w:tc>
          <w:tcPr>
            <w:tcW w:w="232"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5</w:t>
            </w:r>
          </w:p>
        </w:tc>
        <w:tc>
          <w:tcPr>
            <w:tcW w:w="1167"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Газоснабжение</w:t>
            </w:r>
          </w:p>
        </w:tc>
        <w:tc>
          <w:tcPr>
            <w:tcW w:w="816"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руб./ куб.м.</w:t>
            </w:r>
          </w:p>
        </w:tc>
        <w:tc>
          <w:tcPr>
            <w:tcW w:w="463"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7,42</w:t>
            </w:r>
          </w:p>
        </w:tc>
        <w:tc>
          <w:tcPr>
            <w:tcW w:w="463"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7,77</w:t>
            </w:r>
          </w:p>
        </w:tc>
        <w:tc>
          <w:tcPr>
            <w:tcW w:w="463"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8,13</w:t>
            </w:r>
          </w:p>
        </w:tc>
        <w:tc>
          <w:tcPr>
            <w:tcW w:w="463"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8,51</w:t>
            </w:r>
          </w:p>
        </w:tc>
        <w:tc>
          <w:tcPr>
            <w:tcW w:w="463"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8,91</w:t>
            </w:r>
          </w:p>
        </w:tc>
        <w:tc>
          <w:tcPr>
            <w:tcW w:w="472"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11,02</w:t>
            </w:r>
          </w:p>
        </w:tc>
      </w:tr>
      <w:tr w:rsidR="00171D1D" w:rsidRPr="00592BA7" w:rsidTr="00592BA7">
        <w:trPr>
          <w:trHeight w:val="20"/>
        </w:trPr>
        <w:tc>
          <w:tcPr>
            <w:tcW w:w="232" w:type="pct"/>
            <w:shd w:val="clear" w:color="auto" w:fill="auto"/>
            <w:vAlign w:val="center"/>
          </w:tcPr>
          <w:p w:rsidR="00171D1D" w:rsidRPr="00592BA7" w:rsidRDefault="00171D1D" w:rsidP="00592BA7">
            <w:pPr>
              <w:jc w:val="both"/>
              <w:rPr>
                <w:rFonts w:ascii="Times New Roman" w:hAnsi="Times New Roman" w:cs="Times New Roman"/>
                <w:sz w:val="20"/>
                <w:szCs w:val="20"/>
              </w:rPr>
            </w:pPr>
          </w:p>
        </w:tc>
        <w:tc>
          <w:tcPr>
            <w:tcW w:w="1167"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Норматив потребления</w:t>
            </w:r>
          </w:p>
        </w:tc>
        <w:tc>
          <w:tcPr>
            <w:tcW w:w="816"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куб.м./1 проживающего</w:t>
            </w:r>
          </w:p>
        </w:tc>
        <w:tc>
          <w:tcPr>
            <w:tcW w:w="463"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w:t>
            </w:r>
          </w:p>
        </w:tc>
        <w:tc>
          <w:tcPr>
            <w:tcW w:w="463"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w:t>
            </w:r>
          </w:p>
        </w:tc>
        <w:tc>
          <w:tcPr>
            <w:tcW w:w="463"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w:t>
            </w:r>
          </w:p>
        </w:tc>
        <w:tc>
          <w:tcPr>
            <w:tcW w:w="463"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w:t>
            </w:r>
          </w:p>
        </w:tc>
        <w:tc>
          <w:tcPr>
            <w:tcW w:w="463"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w:t>
            </w:r>
          </w:p>
        </w:tc>
        <w:tc>
          <w:tcPr>
            <w:tcW w:w="472"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w:t>
            </w:r>
          </w:p>
        </w:tc>
      </w:tr>
      <w:tr w:rsidR="00171D1D" w:rsidRPr="00592BA7" w:rsidTr="00592BA7">
        <w:trPr>
          <w:trHeight w:val="20"/>
        </w:trPr>
        <w:tc>
          <w:tcPr>
            <w:tcW w:w="232" w:type="pct"/>
            <w:shd w:val="clear" w:color="auto" w:fill="auto"/>
            <w:vAlign w:val="center"/>
          </w:tcPr>
          <w:p w:rsidR="00171D1D" w:rsidRPr="00592BA7" w:rsidRDefault="00171D1D" w:rsidP="00592BA7">
            <w:pPr>
              <w:jc w:val="both"/>
              <w:rPr>
                <w:rFonts w:ascii="Times New Roman" w:hAnsi="Times New Roman" w:cs="Times New Roman"/>
                <w:sz w:val="20"/>
                <w:szCs w:val="20"/>
              </w:rPr>
            </w:pPr>
          </w:p>
        </w:tc>
        <w:tc>
          <w:tcPr>
            <w:tcW w:w="1167"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Совокупный платеж</w:t>
            </w:r>
          </w:p>
        </w:tc>
        <w:tc>
          <w:tcPr>
            <w:tcW w:w="816"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руб./мес.</w:t>
            </w:r>
          </w:p>
        </w:tc>
        <w:tc>
          <w:tcPr>
            <w:tcW w:w="463" w:type="pct"/>
            <w:shd w:val="clear" w:color="auto" w:fill="auto"/>
            <w:vAlign w:val="bottom"/>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148,40</w:t>
            </w:r>
          </w:p>
        </w:tc>
        <w:tc>
          <w:tcPr>
            <w:tcW w:w="463" w:type="pct"/>
            <w:shd w:val="clear" w:color="auto" w:fill="auto"/>
            <w:vAlign w:val="bottom"/>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155,40</w:t>
            </w:r>
          </w:p>
        </w:tc>
        <w:tc>
          <w:tcPr>
            <w:tcW w:w="463" w:type="pct"/>
            <w:shd w:val="clear" w:color="auto" w:fill="auto"/>
            <w:vAlign w:val="bottom"/>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162,60</w:t>
            </w:r>
          </w:p>
        </w:tc>
        <w:tc>
          <w:tcPr>
            <w:tcW w:w="463" w:type="pct"/>
            <w:shd w:val="clear" w:color="auto" w:fill="auto"/>
            <w:vAlign w:val="bottom"/>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170,20</w:t>
            </w:r>
          </w:p>
        </w:tc>
        <w:tc>
          <w:tcPr>
            <w:tcW w:w="463" w:type="pct"/>
            <w:shd w:val="clear" w:color="auto" w:fill="auto"/>
            <w:vAlign w:val="bottom"/>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178,20</w:t>
            </w:r>
          </w:p>
        </w:tc>
        <w:tc>
          <w:tcPr>
            <w:tcW w:w="472" w:type="pct"/>
            <w:shd w:val="clear" w:color="auto" w:fill="auto"/>
            <w:vAlign w:val="bottom"/>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220,40</w:t>
            </w:r>
          </w:p>
        </w:tc>
      </w:tr>
      <w:tr w:rsidR="00171D1D" w:rsidRPr="00592BA7" w:rsidTr="00592BA7">
        <w:trPr>
          <w:trHeight w:val="20"/>
        </w:trPr>
        <w:tc>
          <w:tcPr>
            <w:tcW w:w="232"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w:t>
            </w:r>
          </w:p>
        </w:tc>
        <w:tc>
          <w:tcPr>
            <w:tcW w:w="1167"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Система по обращению с ТКО</w:t>
            </w:r>
          </w:p>
        </w:tc>
        <w:tc>
          <w:tcPr>
            <w:tcW w:w="816"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руб./куб.м.</w:t>
            </w:r>
          </w:p>
        </w:tc>
        <w:tc>
          <w:tcPr>
            <w:tcW w:w="463"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409,61</w:t>
            </w:r>
          </w:p>
        </w:tc>
        <w:tc>
          <w:tcPr>
            <w:tcW w:w="463"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428,79</w:t>
            </w:r>
          </w:p>
        </w:tc>
        <w:tc>
          <w:tcPr>
            <w:tcW w:w="463"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448,86</w:t>
            </w:r>
          </w:p>
        </w:tc>
        <w:tc>
          <w:tcPr>
            <w:tcW w:w="463"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469,88</w:t>
            </w:r>
          </w:p>
        </w:tc>
        <w:tc>
          <w:tcPr>
            <w:tcW w:w="463"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491,88</w:t>
            </w:r>
          </w:p>
        </w:tc>
        <w:tc>
          <w:tcPr>
            <w:tcW w:w="472"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608,16</w:t>
            </w:r>
          </w:p>
        </w:tc>
      </w:tr>
      <w:tr w:rsidR="00171D1D" w:rsidRPr="00592BA7" w:rsidTr="00592BA7">
        <w:trPr>
          <w:trHeight w:val="20"/>
        </w:trPr>
        <w:tc>
          <w:tcPr>
            <w:tcW w:w="232" w:type="pct"/>
            <w:shd w:val="clear" w:color="auto" w:fill="auto"/>
            <w:vAlign w:val="center"/>
          </w:tcPr>
          <w:p w:rsidR="00171D1D" w:rsidRPr="00592BA7" w:rsidRDefault="00171D1D" w:rsidP="00592BA7">
            <w:pPr>
              <w:jc w:val="both"/>
              <w:rPr>
                <w:rFonts w:ascii="Times New Roman" w:hAnsi="Times New Roman" w:cs="Times New Roman"/>
                <w:sz w:val="20"/>
                <w:szCs w:val="20"/>
              </w:rPr>
            </w:pPr>
          </w:p>
        </w:tc>
        <w:tc>
          <w:tcPr>
            <w:tcW w:w="1167"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Норматив потребления</w:t>
            </w:r>
          </w:p>
        </w:tc>
        <w:tc>
          <w:tcPr>
            <w:tcW w:w="816"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куб.м./1 проживающего</w:t>
            </w:r>
          </w:p>
        </w:tc>
        <w:tc>
          <w:tcPr>
            <w:tcW w:w="463"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0,1458</w:t>
            </w:r>
          </w:p>
        </w:tc>
        <w:tc>
          <w:tcPr>
            <w:tcW w:w="463"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0,1458</w:t>
            </w:r>
          </w:p>
        </w:tc>
        <w:tc>
          <w:tcPr>
            <w:tcW w:w="463"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0,1458</w:t>
            </w:r>
          </w:p>
        </w:tc>
        <w:tc>
          <w:tcPr>
            <w:tcW w:w="463"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0,1458</w:t>
            </w:r>
          </w:p>
        </w:tc>
        <w:tc>
          <w:tcPr>
            <w:tcW w:w="463"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0,1458</w:t>
            </w:r>
          </w:p>
        </w:tc>
        <w:tc>
          <w:tcPr>
            <w:tcW w:w="472"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0,1458</w:t>
            </w:r>
          </w:p>
        </w:tc>
      </w:tr>
      <w:tr w:rsidR="00171D1D" w:rsidRPr="00592BA7" w:rsidTr="00592BA7">
        <w:trPr>
          <w:trHeight w:val="20"/>
        </w:trPr>
        <w:tc>
          <w:tcPr>
            <w:tcW w:w="232" w:type="pct"/>
            <w:shd w:val="clear" w:color="auto" w:fill="auto"/>
            <w:vAlign w:val="center"/>
          </w:tcPr>
          <w:p w:rsidR="00171D1D" w:rsidRPr="00592BA7" w:rsidRDefault="00171D1D" w:rsidP="00592BA7">
            <w:pPr>
              <w:jc w:val="both"/>
              <w:rPr>
                <w:rFonts w:ascii="Times New Roman" w:hAnsi="Times New Roman" w:cs="Times New Roman"/>
                <w:sz w:val="20"/>
                <w:szCs w:val="20"/>
              </w:rPr>
            </w:pPr>
          </w:p>
        </w:tc>
        <w:tc>
          <w:tcPr>
            <w:tcW w:w="1167"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Совокупный платеж</w:t>
            </w:r>
          </w:p>
        </w:tc>
        <w:tc>
          <w:tcPr>
            <w:tcW w:w="816"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руб./мес.</w:t>
            </w:r>
          </w:p>
        </w:tc>
        <w:tc>
          <w:tcPr>
            <w:tcW w:w="463" w:type="pct"/>
            <w:shd w:val="clear" w:color="auto" w:fill="auto"/>
            <w:vAlign w:val="bottom"/>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59,73</w:t>
            </w:r>
          </w:p>
        </w:tc>
        <w:tc>
          <w:tcPr>
            <w:tcW w:w="463" w:type="pct"/>
            <w:shd w:val="clear" w:color="auto" w:fill="auto"/>
            <w:vAlign w:val="bottom"/>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62,52</w:t>
            </w:r>
          </w:p>
        </w:tc>
        <w:tc>
          <w:tcPr>
            <w:tcW w:w="463" w:type="pct"/>
            <w:shd w:val="clear" w:color="auto" w:fill="auto"/>
            <w:vAlign w:val="bottom"/>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65,44</w:t>
            </w:r>
          </w:p>
        </w:tc>
        <w:tc>
          <w:tcPr>
            <w:tcW w:w="463" w:type="pct"/>
            <w:shd w:val="clear" w:color="auto" w:fill="auto"/>
            <w:vAlign w:val="bottom"/>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68,51</w:t>
            </w:r>
          </w:p>
        </w:tc>
        <w:tc>
          <w:tcPr>
            <w:tcW w:w="463" w:type="pct"/>
            <w:shd w:val="clear" w:color="auto" w:fill="auto"/>
            <w:vAlign w:val="bottom"/>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71,72</w:t>
            </w:r>
          </w:p>
        </w:tc>
        <w:tc>
          <w:tcPr>
            <w:tcW w:w="472" w:type="pct"/>
            <w:shd w:val="clear" w:color="auto" w:fill="auto"/>
            <w:vAlign w:val="bottom"/>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88,67</w:t>
            </w:r>
          </w:p>
        </w:tc>
      </w:tr>
    </w:tbl>
    <w:p w:rsidR="00171D1D" w:rsidRPr="00592BA7" w:rsidRDefault="00171D1D" w:rsidP="00592BA7">
      <w:pPr>
        <w:jc w:val="both"/>
        <w:rPr>
          <w:rFonts w:ascii="Times New Roman" w:hAnsi="Times New Roman" w:cs="Times New Roman"/>
          <w:sz w:val="20"/>
          <w:szCs w:val="20"/>
          <w:lang w:eastAsia="ru-RU"/>
        </w:rPr>
      </w:pP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16.2. Сопоставление прогнозного совокупного платежа населения за коммунальные ресурсы с прогнозами доходов населения</w:t>
      </w:r>
    </w:p>
    <w:p w:rsidR="00171D1D" w:rsidRPr="00592BA7" w:rsidRDefault="00171D1D" w:rsidP="00592BA7">
      <w:pPr>
        <w:jc w:val="both"/>
        <w:rPr>
          <w:rFonts w:ascii="Times New Roman" w:hAnsi="Times New Roman" w:cs="Times New Roman"/>
          <w:sz w:val="20"/>
          <w:szCs w:val="20"/>
        </w:rPr>
      </w:pPr>
    </w:p>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При реализации мероприятий Программы тарифы на коммунальные услуги в муниципальном образовании будут изменяться, однако определены предельные индексы изменения размера платы граждан за коммунальные услуги, что является максимальным критерием при выполнении расчетов. Документом, определяющим прогнозные значения роста тарифов на коммунальные услуги, является прогноз социально-экономического развития РФ на 2024 год и на плановый период 2025 и 2026 годов.</w:t>
      </w:r>
    </w:p>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 случае, если при реализации мероприятий рост тарифов выше предельного индекса изменения размера платы граждан за коммунальные услуги, утвержденного на территории Чувашской Республики, потребители (население) оплачивают величину предельного индекса, а величина превышения оплачивается в рамках субсидий и расходов бюджета на социальную поддержку. Также субсидии для оплаты жилищно-коммунальных услуг предоставляются при превышении расходов семьи на оплату жилого помещения и коммунальных услуг, исчисленных исходя из соответствующего регионального стандарта стоимости жилищно-коммунальных услуг, над суммой, соответствующей (эквивалентной) максимально допустимой доле расходов граждан (=22 %) на оплату жилого помещения и коммунальных услуг в совокупном доходе семьи.</w:t>
      </w:r>
    </w:p>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Данные расходы бюджета принимаются за год, предшествующий году реализации, с учетом утвержденных тарифов и инвестиционных программ для организаций коммунального комплекса, а также в соответствии с социально-экономическим положением на территории муниципального образования.</w:t>
      </w:r>
    </w:p>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 таблице 16.2.1 представлено сопоставление прогнозного совокупного платежа населения за коммунальные ресурсы с прогнозами доходов населения.</w:t>
      </w:r>
    </w:p>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 xml:space="preserve">Доступность для потребителей товаров и услуг организаций коммунального комплекса характеризуется возможностью приобретения и оплаты потребителями соответствующих товаров и услуг организаций коммунального комплекса с учетом цен и надбавок к ценам для потребителей. В соответствии с Приказом Министерства регионального развития РФ от 23 августа 2010 года №378 «Об утверждении методических указаний по расчету предельных индексов изменения размера платы граждан за коммунальные услуги» доступность платы за потребляемые коммунальные услуги является комплексным параметром и определяется на основе системы критериев, устанавливаемой органами исполнительной власти субъектов Российской Федерации, к которым относятся: </w:t>
      </w:r>
    </w:p>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доля расходов на коммунальные услуги в совокупном доходе семьи (среднедушевом доходе);</w:t>
      </w:r>
    </w:p>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уровень собираемости платежей за коммунальные услуги;</w:t>
      </w:r>
    </w:p>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доля населения с доходами ниже прожиточного минимума; </w:t>
      </w:r>
    </w:p>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доля получателей субсидий на оплату коммунальных услуг в общей численности населения.</w:t>
      </w:r>
    </w:p>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Средние значения критериев доступности для граждан платы за коммунальные услуги согласно Приказу Министерства регионального развития РФ от 23 августа 2010 года №378 «Об утверждении методических указаний по расчету предельных индексов изменения размера платы граждан за коммунальные услуги», оцениваются в соответствии с критериями, приведенными в таблице ниже.</w:t>
      </w:r>
      <w:bookmarkStart w:id="4" w:name="_Toc528549017"/>
    </w:p>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Таблица 16.2.1</w:t>
      </w:r>
    </w:p>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Средние значения критериев доступности для населения платы за коммунальные услуги</w:t>
      </w:r>
      <w:bookmarkEnd w:id="4"/>
    </w:p>
    <w:tbl>
      <w:tblPr>
        <w:tblW w:w="9514" w:type="dxa"/>
        <w:tblInd w:w="108" w:type="dxa"/>
        <w:tblLayout w:type="fixed"/>
        <w:tblLook w:val="04A0" w:firstRow="1" w:lastRow="0" w:firstColumn="1" w:lastColumn="0" w:noHBand="0" w:noVBand="1"/>
      </w:tblPr>
      <w:tblGrid>
        <w:gridCol w:w="562"/>
        <w:gridCol w:w="2835"/>
        <w:gridCol w:w="1531"/>
        <w:gridCol w:w="1417"/>
        <w:gridCol w:w="1468"/>
        <w:gridCol w:w="1701"/>
      </w:tblGrid>
      <w:tr w:rsidR="00171D1D" w:rsidRPr="00592BA7" w:rsidTr="00592BA7">
        <w:trPr>
          <w:trHeight w:val="64"/>
          <w:tblHeader/>
        </w:trPr>
        <w:tc>
          <w:tcPr>
            <w:tcW w:w="562" w:type="dxa"/>
            <w:vMerge w:val="restart"/>
            <w:shd w:val="clear" w:color="auto" w:fill="auto"/>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пп</w:t>
            </w:r>
          </w:p>
        </w:tc>
        <w:tc>
          <w:tcPr>
            <w:tcW w:w="2835" w:type="dxa"/>
            <w:vMerge w:val="restart"/>
            <w:shd w:val="clear" w:color="auto" w:fill="auto"/>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Критерий</w:t>
            </w:r>
          </w:p>
        </w:tc>
        <w:tc>
          <w:tcPr>
            <w:tcW w:w="1531" w:type="dxa"/>
            <w:vMerge w:val="restart"/>
            <w:shd w:val="clear" w:color="auto" w:fill="auto"/>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Показатель на 2024 год</w:t>
            </w:r>
          </w:p>
        </w:tc>
        <w:tc>
          <w:tcPr>
            <w:tcW w:w="4586" w:type="dxa"/>
            <w:gridSpan w:val="3"/>
            <w:shd w:val="clear" w:color="auto" w:fill="auto"/>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Уровень доступности</w:t>
            </w:r>
          </w:p>
        </w:tc>
      </w:tr>
      <w:tr w:rsidR="00171D1D" w:rsidRPr="00592BA7" w:rsidTr="00592BA7">
        <w:trPr>
          <w:trHeight w:val="64"/>
          <w:tblHeader/>
        </w:trPr>
        <w:tc>
          <w:tcPr>
            <w:tcW w:w="562" w:type="dxa"/>
            <w:vMerge/>
            <w:shd w:val="clear" w:color="auto" w:fill="auto"/>
            <w:vAlign w:val="center"/>
          </w:tcPr>
          <w:p w:rsidR="00171D1D" w:rsidRPr="00592BA7" w:rsidRDefault="00171D1D" w:rsidP="00592BA7">
            <w:pPr>
              <w:jc w:val="both"/>
              <w:rPr>
                <w:rFonts w:ascii="Times New Roman" w:hAnsi="Times New Roman" w:cs="Times New Roman"/>
                <w:sz w:val="20"/>
                <w:szCs w:val="20"/>
                <w:lang w:eastAsia="ru-RU"/>
              </w:rPr>
            </w:pPr>
          </w:p>
        </w:tc>
        <w:tc>
          <w:tcPr>
            <w:tcW w:w="2835" w:type="dxa"/>
            <w:vMerge/>
            <w:shd w:val="clear" w:color="auto" w:fill="auto"/>
            <w:vAlign w:val="center"/>
          </w:tcPr>
          <w:p w:rsidR="00171D1D" w:rsidRPr="00592BA7" w:rsidRDefault="00171D1D" w:rsidP="00592BA7">
            <w:pPr>
              <w:jc w:val="both"/>
              <w:rPr>
                <w:rFonts w:ascii="Times New Roman" w:hAnsi="Times New Roman" w:cs="Times New Roman"/>
                <w:sz w:val="20"/>
                <w:szCs w:val="20"/>
                <w:lang w:eastAsia="ru-RU"/>
              </w:rPr>
            </w:pPr>
          </w:p>
        </w:tc>
        <w:tc>
          <w:tcPr>
            <w:tcW w:w="1531" w:type="dxa"/>
            <w:vMerge/>
            <w:shd w:val="clear" w:color="auto" w:fill="auto"/>
            <w:vAlign w:val="center"/>
          </w:tcPr>
          <w:p w:rsidR="00171D1D" w:rsidRPr="00592BA7" w:rsidRDefault="00171D1D" w:rsidP="00592BA7">
            <w:pPr>
              <w:jc w:val="both"/>
              <w:rPr>
                <w:rFonts w:ascii="Times New Roman" w:hAnsi="Times New Roman" w:cs="Times New Roman"/>
                <w:sz w:val="20"/>
                <w:szCs w:val="20"/>
                <w:lang w:eastAsia="ru-RU"/>
              </w:rPr>
            </w:pPr>
          </w:p>
        </w:tc>
        <w:tc>
          <w:tcPr>
            <w:tcW w:w="1417" w:type="dxa"/>
            <w:shd w:val="clear" w:color="auto" w:fill="auto"/>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Высокий</w:t>
            </w:r>
          </w:p>
        </w:tc>
        <w:tc>
          <w:tcPr>
            <w:tcW w:w="1468" w:type="dxa"/>
            <w:shd w:val="clear" w:color="auto" w:fill="auto"/>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Доступный</w:t>
            </w:r>
          </w:p>
        </w:tc>
        <w:tc>
          <w:tcPr>
            <w:tcW w:w="1701" w:type="dxa"/>
            <w:shd w:val="clear" w:color="auto" w:fill="auto"/>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Недоступный</w:t>
            </w:r>
          </w:p>
        </w:tc>
      </w:tr>
      <w:tr w:rsidR="00171D1D" w:rsidRPr="00592BA7" w:rsidTr="00592BA7">
        <w:trPr>
          <w:trHeight w:val="611"/>
        </w:trPr>
        <w:tc>
          <w:tcPr>
            <w:tcW w:w="562"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w:t>
            </w:r>
          </w:p>
        </w:tc>
        <w:tc>
          <w:tcPr>
            <w:tcW w:w="2835"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Доля расходов на коммунальные услуги в совокупном доходе, %</w:t>
            </w:r>
          </w:p>
        </w:tc>
        <w:tc>
          <w:tcPr>
            <w:tcW w:w="1531"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8,2</w:t>
            </w:r>
          </w:p>
        </w:tc>
        <w:tc>
          <w:tcPr>
            <w:tcW w:w="1417"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от 6,3 до 7,2</w:t>
            </w:r>
          </w:p>
        </w:tc>
        <w:tc>
          <w:tcPr>
            <w:tcW w:w="1468"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от 7,2 до 8,6</w:t>
            </w:r>
          </w:p>
        </w:tc>
        <w:tc>
          <w:tcPr>
            <w:tcW w:w="1701"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свыше 8,6</w:t>
            </w:r>
          </w:p>
        </w:tc>
      </w:tr>
      <w:tr w:rsidR="00171D1D" w:rsidRPr="00592BA7" w:rsidTr="00592BA7">
        <w:trPr>
          <w:trHeight w:val="549"/>
        </w:trPr>
        <w:tc>
          <w:tcPr>
            <w:tcW w:w="562"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w:t>
            </w:r>
          </w:p>
        </w:tc>
        <w:tc>
          <w:tcPr>
            <w:tcW w:w="2835"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Доля населения с доходами ниже прожиточного минимума, %</w:t>
            </w:r>
          </w:p>
        </w:tc>
        <w:tc>
          <w:tcPr>
            <w:tcW w:w="1531"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Нет данных</w:t>
            </w:r>
          </w:p>
        </w:tc>
        <w:tc>
          <w:tcPr>
            <w:tcW w:w="1417"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до 8</w:t>
            </w:r>
          </w:p>
        </w:tc>
        <w:tc>
          <w:tcPr>
            <w:tcW w:w="1468"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от 8 до 12</w:t>
            </w:r>
          </w:p>
        </w:tc>
        <w:tc>
          <w:tcPr>
            <w:tcW w:w="1701"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свыше 12</w:t>
            </w:r>
          </w:p>
        </w:tc>
      </w:tr>
      <w:tr w:rsidR="00171D1D" w:rsidRPr="00592BA7" w:rsidTr="00592BA7">
        <w:trPr>
          <w:trHeight w:val="429"/>
        </w:trPr>
        <w:tc>
          <w:tcPr>
            <w:tcW w:w="562"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w:t>
            </w:r>
          </w:p>
        </w:tc>
        <w:tc>
          <w:tcPr>
            <w:tcW w:w="2835"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Уровень собираемости платежей за коммунальные услуги, %</w:t>
            </w:r>
          </w:p>
        </w:tc>
        <w:tc>
          <w:tcPr>
            <w:tcW w:w="1531"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Нет данных</w:t>
            </w:r>
          </w:p>
        </w:tc>
        <w:tc>
          <w:tcPr>
            <w:tcW w:w="1417"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от 92 до 95</w:t>
            </w:r>
          </w:p>
        </w:tc>
        <w:tc>
          <w:tcPr>
            <w:tcW w:w="1468"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от 85 до 92</w:t>
            </w:r>
          </w:p>
        </w:tc>
        <w:tc>
          <w:tcPr>
            <w:tcW w:w="1701"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ниже 85</w:t>
            </w:r>
          </w:p>
        </w:tc>
      </w:tr>
      <w:tr w:rsidR="00171D1D" w:rsidRPr="00592BA7" w:rsidTr="00592BA7">
        <w:trPr>
          <w:trHeight w:val="70"/>
        </w:trPr>
        <w:tc>
          <w:tcPr>
            <w:tcW w:w="562"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w:t>
            </w:r>
          </w:p>
        </w:tc>
        <w:tc>
          <w:tcPr>
            <w:tcW w:w="2835"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Доля получателей субсидий на оплату коммунальных услуг в общей численности населения</w:t>
            </w:r>
          </w:p>
        </w:tc>
        <w:tc>
          <w:tcPr>
            <w:tcW w:w="1531"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Нет данных</w:t>
            </w:r>
          </w:p>
        </w:tc>
        <w:tc>
          <w:tcPr>
            <w:tcW w:w="1417"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не более 10</w:t>
            </w:r>
          </w:p>
        </w:tc>
        <w:tc>
          <w:tcPr>
            <w:tcW w:w="1468"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от 10 до 15</w:t>
            </w:r>
          </w:p>
        </w:tc>
        <w:tc>
          <w:tcPr>
            <w:tcW w:w="1701"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свыше 15</w:t>
            </w:r>
          </w:p>
        </w:tc>
      </w:tr>
    </w:tbl>
    <w:p w:rsidR="00171D1D" w:rsidRPr="00592BA7" w:rsidRDefault="00171D1D" w:rsidP="00592BA7">
      <w:pPr>
        <w:jc w:val="both"/>
        <w:rPr>
          <w:rFonts w:ascii="Times New Roman" w:hAnsi="Times New Roman" w:cs="Times New Roman"/>
          <w:sz w:val="20"/>
          <w:szCs w:val="20"/>
        </w:rPr>
      </w:pP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16.3. Проверка доступности тарифов на коммунальные услуги для населения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Нормативная величина платежей граждан (с учетом прогнозируемых тарифов в ценах отчетного периода) определена в соответствии с региональным стандартом по установленным нормативам потребления коммунальных ресурсов. </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При переходе от оплаты коммунальных ресурсов по установленным нормативам потребления на оплату по фактическому потреблению по приборам учета и при отсутствии отдельных видов благоустройства фактическая величина платежей граждан может изменяться, как правило, в меньшую сторону.</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 xml:space="preserve">Предельная стоимость оказываемых ЖКУ на человека установлена постановлением Кабинета Министров Чувашской Республики от 13.02.2024 №51 «О внесении изменений в постановление Кабинета Министров Чувашской Республики от 30 июня 2006 г. N 158». </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Сравнительный анализ прогнозируемого изменения уровня платежей граждан с утвержденным стандартом предельной стоимости ЖКУ представлен в таблице 16.3.1.</w:t>
      </w:r>
    </w:p>
    <w:p w:rsidR="00171D1D" w:rsidRPr="00592BA7" w:rsidRDefault="00171D1D" w:rsidP="00592BA7">
      <w:pPr>
        <w:jc w:val="both"/>
        <w:rPr>
          <w:rFonts w:ascii="Times New Roman" w:hAnsi="Times New Roman" w:cs="Times New Roman"/>
          <w:sz w:val="20"/>
          <w:szCs w:val="20"/>
        </w:rPr>
      </w:pP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Таблица 16.3.1</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Сопоставление прогнозного совокупного платежа населения за коммунальные ресурсы с прогнозами доходов населения</w:t>
      </w:r>
    </w:p>
    <w:tbl>
      <w:tblPr>
        <w:tblW w:w="5000" w:type="pct"/>
        <w:tblLook w:val="04A0" w:firstRow="1" w:lastRow="0" w:firstColumn="1" w:lastColumn="0" w:noHBand="0" w:noVBand="1"/>
      </w:tblPr>
      <w:tblGrid>
        <w:gridCol w:w="435"/>
        <w:gridCol w:w="3032"/>
        <w:gridCol w:w="990"/>
        <w:gridCol w:w="900"/>
        <w:gridCol w:w="877"/>
        <w:gridCol w:w="877"/>
        <w:gridCol w:w="877"/>
        <w:gridCol w:w="877"/>
        <w:gridCol w:w="875"/>
      </w:tblGrid>
      <w:tr w:rsidR="00171D1D" w:rsidRPr="00592BA7" w:rsidTr="00592BA7">
        <w:trPr>
          <w:trHeight w:val="571"/>
        </w:trPr>
        <w:tc>
          <w:tcPr>
            <w:tcW w:w="22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пп</w:t>
            </w:r>
          </w:p>
        </w:tc>
        <w:tc>
          <w:tcPr>
            <w:tcW w:w="1557" w:type="pct"/>
            <w:tcBorders>
              <w:top w:val="single" w:sz="4" w:space="0" w:color="auto"/>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Наименование</w:t>
            </w:r>
          </w:p>
        </w:tc>
        <w:tc>
          <w:tcPr>
            <w:tcW w:w="508" w:type="pct"/>
            <w:tcBorders>
              <w:top w:val="single" w:sz="4" w:space="0" w:color="auto"/>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Ед. изм.</w:t>
            </w:r>
          </w:p>
        </w:tc>
        <w:tc>
          <w:tcPr>
            <w:tcW w:w="462" w:type="pct"/>
            <w:tcBorders>
              <w:top w:val="single" w:sz="4" w:space="0" w:color="auto"/>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2024 год</w:t>
            </w:r>
          </w:p>
        </w:tc>
        <w:tc>
          <w:tcPr>
            <w:tcW w:w="450" w:type="pct"/>
            <w:tcBorders>
              <w:top w:val="single" w:sz="4" w:space="0" w:color="auto"/>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2025 год</w:t>
            </w:r>
          </w:p>
        </w:tc>
        <w:tc>
          <w:tcPr>
            <w:tcW w:w="450" w:type="pct"/>
            <w:tcBorders>
              <w:top w:val="single" w:sz="4" w:space="0" w:color="auto"/>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2026 год</w:t>
            </w:r>
          </w:p>
        </w:tc>
        <w:tc>
          <w:tcPr>
            <w:tcW w:w="450" w:type="pct"/>
            <w:tcBorders>
              <w:top w:val="single" w:sz="4" w:space="0" w:color="auto"/>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2027 год</w:t>
            </w:r>
          </w:p>
        </w:tc>
        <w:tc>
          <w:tcPr>
            <w:tcW w:w="450" w:type="pct"/>
            <w:tcBorders>
              <w:top w:val="single" w:sz="4" w:space="0" w:color="auto"/>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2028 год</w:t>
            </w:r>
          </w:p>
        </w:tc>
        <w:tc>
          <w:tcPr>
            <w:tcW w:w="450" w:type="pct"/>
            <w:tcBorders>
              <w:top w:val="single" w:sz="4" w:space="0" w:color="auto"/>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2029-2034 годы</w:t>
            </w:r>
          </w:p>
        </w:tc>
      </w:tr>
      <w:tr w:rsidR="00171D1D" w:rsidRPr="00592BA7" w:rsidTr="00592BA7">
        <w:trPr>
          <w:trHeight w:val="20"/>
        </w:trPr>
        <w:tc>
          <w:tcPr>
            <w:tcW w:w="224" w:type="pct"/>
            <w:tcBorders>
              <w:top w:val="nil"/>
              <w:left w:val="single" w:sz="4" w:space="0" w:color="auto"/>
              <w:bottom w:val="single" w:sz="4" w:space="0" w:color="auto"/>
              <w:right w:val="single" w:sz="4" w:space="0" w:color="auto"/>
            </w:tcBorders>
            <w:shd w:val="clear" w:color="auto" w:fill="auto"/>
            <w:noWrap/>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w:t>
            </w:r>
          </w:p>
        </w:tc>
        <w:tc>
          <w:tcPr>
            <w:tcW w:w="1557"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Средняя заработная плата на территории муниципального образования</w:t>
            </w:r>
          </w:p>
        </w:tc>
        <w:tc>
          <w:tcPr>
            <w:tcW w:w="5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руб./мес.</w:t>
            </w:r>
          </w:p>
        </w:tc>
        <w:tc>
          <w:tcPr>
            <w:tcW w:w="462" w:type="pct"/>
            <w:tcBorders>
              <w:top w:val="single" w:sz="4" w:space="0" w:color="auto"/>
              <w:left w:val="single" w:sz="4" w:space="0" w:color="auto"/>
              <w:bottom w:val="single" w:sz="4" w:space="0" w:color="auto"/>
              <w:right w:val="single" w:sz="4" w:space="0" w:color="auto"/>
            </w:tcBorders>
            <w:shd w:val="clear" w:color="auto" w:fill="auto"/>
            <w:noWrap/>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32100</w:t>
            </w:r>
          </w:p>
        </w:tc>
        <w:tc>
          <w:tcPr>
            <w:tcW w:w="450" w:type="pct"/>
            <w:tcBorders>
              <w:top w:val="single" w:sz="4" w:space="0" w:color="auto"/>
              <w:left w:val="nil"/>
              <w:bottom w:val="single" w:sz="4" w:space="0" w:color="auto"/>
              <w:right w:val="single" w:sz="4" w:space="0" w:color="auto"/>
            </w:tcBorders>
            <w:shd w:val="clear" w:color="auto" w:fill="auto"/>
            <w:noWrap/>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32700</w:t>
            </w:r>
          </w:p>
        </w:tc>
        <w:tc>
          <w:tcPr>
            <w:tcW w:w="450" w:type="pct"/>
            <w:tcBorders>
              <w:top w:val="single" w:sz="4" w:space="0" w:color="auto"/>
              <w:left w:val="nil"/>
              <w:bottom w:val="single" w:sz="4" w:space="0" w:color="auto"/>
              <w:right w:val="single" w:sz="4" w:space="0" w:color="auto"/>
            </w:tcBorders>
            <w:shd w:val="clear" w:color="auto" w:fill="auto"/>
            <w:noWrap/>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35000</w:t>
            </w:r>
          </w:p>
        </w:tc>
        <w:tc>
          <w:tcPr>
            <w:tcW w:w="450" w:type="pct"/>
            <w:tcBorders>
              <w:top w:val="single" w:sz="4" w:space="0" w:color="auto"/>
              <w:left w:val="nil"/>
              <w:bottom w:val="single" w:sz="4" w:space="0" w:color="auto"/>
              <w:right w:val="single" w:sz="4" w:space="0" w:color="auto"/>
            </w:tcBorders>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37400</w:t>
            </w:r>
          </w:p>
        </w:tc>
        <w:tc>
          <w:tcPr>
            <w:tcW w:w="450" w:type="pct"/>
            <w:tcBorders>
              <w:top w:val="single" w:sz="4" w:space="0" w:color="auto"/>
              <w:left w:val="nil"/>
              <w:bottom w:val="single" w:sz="4" w:space="0" w:color="auto"/>
              <w:right w:val="single" w:sz="4" w:space="0" w:color="auto"/>
            </w:tcBorders>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39900</w:t>
            </w:r>
          </w:p>
        </w:tc>
        <w:tc>
          <w:tcPr>
            <w:tcW w:w="450" w:type="pct"/>
            <w:tcBorders>
              <w:top w:val="single" w:sz="4" w:space="0" w:color="auto"/>
              <w:left w:val="nil"/>
              <w:bottom w:val="single" w:sz="4" w:space="0" w:color="auto"/>
              <w:right w:val="single" w:sz="4" w:space="0" w:color="auto"/>
            </w:tcBorders>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57000</w:t>
            </w:r>
          </w:p>
        </w:tc>
      </w:tr>
      <w:tr w:rsidR="00171D1D" w:rsidRPr="00592BA7" w:rsidTr="00592BA7">
        <w:trPr>
          <w:trHeight w:val="20"/>
        </w:trPr>
        <w:tc>
          <w:tcPr>
            <w:tcW w:w="224" w:type="pct"/>
            <w:tcBorders>
              <w:top w:val="nil"/>
              <w:left w:val="single" w:sz="4" w:space="0" w:color="auto"/>
              <w:bottom w:val="single" w:sz="4" w:space="0" w:color="auto"/>
              <w:right w:val="single" w:sz="4" w:space="0" w:color="auto"/>
            </w:tcBorders>
            <w:shd w:val="clear" w:color="auto" w:fill="auto"/>
            <w:noWrap/>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w:t>
            </w:r>
          </w:p>
        </w:tc>
        <w:tc>
          <w:tcPr>
            <w:tcW w:w="1557"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Величина прожиточного минимума в расчете на душу населения Чувашской Республики</w:t>
            </w:r>
          </w:p>
        </w:tc>
        <w:tc>
          <w:tcPr>
            <w:tcW w:w="5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руб./мес.</w:t>
            </w:r>
          </w:p>
        </w:tc>
        <w:tc>
          <w:tcPr>
            <w:tcW w:w="462" w:type="pct"/>
            <w:tcBorders>
              <w:top w:val="nil"/>
              <w:left w:val="single" w:sz="4" w:space="0" w:color="auto"/>
              <w:bottom w:val="single" w:sz="4" w:space="0" w:color="auto"/>
              <w:right w:val="single" w:sz="4" w:space="0" w:color="auto"/>
            </w:tcBorders>
            <w:shd w:val="clear" w:color="auto" w:fill="auto"/>
            <w:noWrap/>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13010</w:t>
            </w:r>
          </w:p>
        </w:tc>
        <w:tc>
          <w:tcPr>
            <w:tcW w:w="450" w:type="pct"/>
            <w:tcBorders>
              <w:top w:val="nil"/>
              <w:left w:val="nil"/>
              <w:bottom w:val="single" w:sz="4" w:space="0" w:color="auto"/>
              <w:right w:val="single" w:sz="4" w:space="0" w:color="auto"/>
            </w:tcBorders>
            <w:shd w:val="clear" w:color="auto" w:fill="auto"/>
            <w:noWrap/>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14044</w:t>
            </w:r>
          </w:p>
        </w:tc>
        <w:tc>
          <w:tcPr>
            <w:tcW w:w="450" w:type="pct"/>
            <w:tcBorders>
              <w:top w:val="nil"/>
              <w:left w:val="nil"/>
              <w:bottom w:val="single" w:sz="4" w:space="0" w:color="auto"/>
              <w:right w:val="single" w:sz="4" w:space="0" w:color="auto"/>
            </w:tcBorders>
            <w:shd w:val="clear" w:color="auto" w:fill="auto"/>
            <w:noWrap/>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15228</w:t>
            </w:r>
          </w:p>
        </w:tc>
        <w:tc>
          <w:tcPr>
            <w:tcW w:w="450" w:type="pct"/>
            <w:tcBorders>
              <w:top w:val="nil"/>
              <w:left w:val="nil"/>
              <w:bottom w:val="single" w:sz="4" w:space="0" w:color="auto"/>
              <w:right w:val="single" w:sz="4" w:space="0" w:color="auto"/>
            </w:tcBorders>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16578</w:t>
            </w:r>
          </w:p>
        </w:tc>
        <w:tc>
          <w:tcPr>
            <w:tcW w:w="450" w:type="pct"/>
            <w:tcBorders>
              <w:top w:val="nil"/>
              <w:left w:val="nil"/>
              <w:bottom w:val="single" w:sz="4" w:space="0" w:color="auto"/>
              <w:right w:val="single" w:sz="4" w:space="0" w:color="auto"/>
            </w:tcBorders>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18058</w:t>
            </w:r>
          </w:p>
        </w:tc>
        <w:tc>
          <w:tcPr>
            <w:tcW w:w="450" w:type="pct"/>
            <w:tcBorders>
              <w:top w:val="nil"/>
              <w:left w:val="nil"/>
              <w:bottom w:val="single" w:sz="4" w:space="0" w:color="auto"/>
              <w:right w:val="single" w:sz="4" w:space="0" w:color="auto"/>
            </w:tcBorders>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30408</w:t>
            </w:r>
          </w:p>
        </w:tc>
      </w:tr>
      <w:tr w:rsidR="00171D1D" w:rsidRPr="00592BA7" w:rsidTr="00592BA7">
        <w:trPr>
          <w:trHeight w:val="20"/>
        </w:trPr>
        <w:tc>
          <w:tcPr>
            <w:tcW w:w="224" w:type="pct"/>
            <w:tcBorders>
              <w:top w:val="nil"/>
              <w:left w:val="single" w:sz="4" w:space="0" w:color="auto"/>
              <w:bottom w:val="single" w:sz="4" w:space="0" w:color="auto"/>
              <w:right w:val="single" w:sz="4" w:space="0" w:color="auto"/>
            </w:tcBorders>
            <w:shd w:val="clear" w:color="auto" w:fill="auto"/>
            <w:noWrap/>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w:t>
            </w:r>
          </w:p>
        </w:tc>
        <w:tc>
          <w:tcPr>
            <w:tcW w:w="1557"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Совокупный платеж по коммунальным услугам на 1 человека при заданных условиях расчета</w:t>
            </w:r>
          </w:p>
        </w:tc>
        <w:tc>
          <w:tcPr>
            <w:tcW w:w="5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руб./мес.</w:t>
            </w:r>
          </w:p>
        </w:tc>
        <w:tc>
          <w:tcPr>
            <w:tcW w:w="462" w:type="pct"/>
            <w:tcBorders>
              <w:top w:val="nil"/>
              <w:left w:val="single" w:sz="4" w:space="0" w:color="auto"/>
              <w:bottom w:val="single" w:sz="4" w:space="0" w:color="auto"/>
              <w:right w:val="single" w:sz="4" w:space="0" w:color="auto"/>
            </w:tcBorders>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2628,80</w:t>
            </w:r>
          </w:p>
        </w:tc>
        <w:tc>
          <w:tcPr>
            <w:tcW w:w="450" w:type="pct"/>
            <w:tcBorders>
              <w:top w:val="nil"/>
              <w:left w:val="nil"/>
              <w:bottom w:val="single" w:sz="4" w:space="0" w:color="auto"/>
              <w:right w:val="single" w:sz="4" w:space="0" w:color="auto"/>
            </w:tcBorders>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2751,89</w:t>
            </w:r>
          </w:p>
        </w:tc>
        <w:tc>
          <w:tcPr>
            <w:tcW w:w="450" w:type="pct"/>
            <w:tcBorders>
              <w:top w:val="nil"/>
              <w:left w:val="nil"/>
              <w:bottom w:val="single" w:sz="4" w:space="0" w:color="auto"/>
              <w:right w:val="single" w:sz="4" w:space="0" w:color="auto"/>
            </w:tcBorders>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2880,72</w:t>
            </w:r>
          </w:p>
        </w:tc>
        <w:tc>
          <w:tcPr>
            <w:tcW w:w="450" w:type="pct"/>
            <w:tcBorders>
              <w:top w:val="nil"/>
              <w:left w:val="nil"/>
              <w:bottom w:val="single" w:sz="4" w:space="0" w:color="auto"/>
              <w:right w:val="single" w:sz="4" w:space="0" w:color="auto"/>
            </w:tcBorders>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3015,60</w:t>
            </w:r>
          </w:p>
        </w:tc>
        <w:tc>
          <w:tcPr>
            <w:tcW w:w="450" w:type="pct"/>
            <w:tcBorders>
              <w:top w:val="nil"/>
              <w:left w:val="nil"/>
              <w:bottom w:val="single" w:sz="4" w:space="0" w:color="auto"/>
              <w:right w:val="single" w:sz="4" w:space="0" w:color="auto"/>
            </w:tcBorders>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3156,78</w:t>
            </w:r>
          </w:p>
        </w:tc>
        <w:tc>
          <w:tcPr>
            <w:tcW w:w="450" w:type="pct"/>
            <w:tcBorders>
              <w:top w:val="nil"/>
              <w:left w:val="nil"/>
              <w:bottom w:val="single" w:sz="4" w:space="0" w:color="auto"/>
              <w:right w:val="single" w:sz="4" w:space="0" w:color="auto"/>
            </w:tcBorders>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3903,06</w:t>
            </w:r>
          </w:p>
        </w:tc>
      </w:tr>
    </w:tbl>
    <w:p w:rsidR="00171D1D" w:rsidRPr="00592BA7" w:rsidRDefault="00171D1D" w:rsidP="00592BA7">
      <w:pPr>
        <w:jc w:val="both"/>
        <w:rPr>
          <w:rFonts w:ascii="Times New Roman" w:hAnsi="Times New Roman" w:cs="Times New Roman"/>
          <w:sz w:val="20"/>
          <w:szCs w:val="20"/>
        </w:rPr>
      </w:pP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Таблица 16.3.2</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Сравнительный анализ прогнозируемого изменения уровня платежей граждан с утвержденным стандартом предельной стоимости ЖКУ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5"/>
        <w:gridCol w:w="2964"/>
        <w:gridCol w:w="990"/>
        <w:gridCol w:w="877"/>
        <w:gridCol w:w="877"/>
        <w:gridCol w:w="877"/>
        <w:gridCol w:w="877"/>
        <w:gridCol w:w="877"/>
        <w:gridCol w:w="966"/>
      </w:tblGrid>
      <w:tr w:rsidR="00171D1D" w:rsidRPr="00592BA7" w:rsidTr="00592BA7">
        <w:trPr>
          <w:trHeight w:val="389"/>
        </w:trPr>
        <w:tc>
          <w:tcPr>
            <w:tcW w:w="224" w:type="pct"/>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пп</w:t>
            </w:r>
          </w:p>
        </w:tc>
        <w:tc>
          <w:tcPr>
            <w:tcW w:w="1522" w:type="pct"/>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Наименование</w:t>
            </w:r>
          </w:p>
        </w:tc>
        <w:tc>
          <w:tcPr>
            <w:tcW w:w="508" w:type="pct"/>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Ед. изм.</w:t>
            </w:r>
          </w:p>
        </w:tc>
        <w:tc>
          <w:tcPr>
            <w:tcW w:w="450" w:type="pct"/>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2024 год</w:t>
            </w:r>
          </w:p>
        </w:tc>
        <w:tc>
          <w:tcPr>
            <w:tcW w:w="450" w:type="pct"/>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2025 год</w:t>
            </w:r>
          </w:p>
        </w:tc>
        <w:tc>
          <w:tcPr>
            <w:tcW w:w="450" w:type="pct"/>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2026 год</w:t>
            </w:r>
          </w:p>
        </w:tc>
        <w:tc>
          <w:tcPr>
            <w:tcW w:w="450" w:type="pct"/>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2027 год</w:t>
            </w:r>
          </w:p>
        </w:tc>
        <w:tc>
          <w:tcPr>
            <w:tcW w:w="450" w:type="pct"/>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2028 год</w:t>
            </w:r>
          </w:p>
        </w:tc>
        <w:tc>
          <w:tcPr>
            <w:tcW w:w="497" w:type="pct"/>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2029-2034 годы</w:t>
            </w:r>
          </w:p>
        </w:tc>
      </w:tr>
      <w:tr w:rsidR="00171D1D" w:rsidRPr="00592BA7" w:rsidTr="00592BA7">
        <w:trPr>
          <w:trHeight w:val="20"/>
        </w:trPr>
        <w:tc>
          <w:tcPr>
            <w:tcW w:w="224"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w:t>
            </w:r>
          </w:p>
        </w:tc>
        <w:tc>
          <w:tcPr>
            <w:tcW w:w="1522" w:type="pct"/>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Совокупный платеж по коммунальным услугам на 1 человека при заданных условиях расчета</w:t>
            </w:r>
          </w:p>
        </w:tc>
        <w:tc>
          <w:tcPr>
            <w:tcW w:w="5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руб./мес.</w:t>
            </w:r>
          </w:p>
        </w:tc>
        <w:tc>
          <w:tcPr>
            <w:tcW w:w="450" w:type="pct"/>
            <w:tcBorders>
              <w:top w:val="single" w:sz="4" w:space="0" w:color="auto"/>
              <w:left w:val="single" w:sz="4" w:space="0" w:color="auto"/>
              <w:bottom w:val="single" w:sz="4" w:space="0" w:color="auto"/>
              <w:right w:val="single" w:sz="4" w:space="0" w:color="auto"/>
            </w:tcBorders>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2628,80</w:t>
            </w:r>
          </w:p>
        </w:tc>
        <w:tc>
          <w:tcPr>
            <w:tcW w:w="450" w:type="pct"/>
            <w:tcBorders>
              <w:top w:val="single" w:sz="4" w:space="0" w:color="auto"/>
              <w:left w:val="nil"/>
              <w:bottom w:val="single" w:sz="4" w:space="0" w:color="auto"/>
              <w:right w:val="single" w:sz="4" w:space="0" w:color="auto"/>
            </w:tcBorders>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2751,89</w:t>
            </w:r>
          </w:p>
        </w:tc>
        <w:tc>
          <w:tcPr>
            <w:tcW w:w="450" w:type="pct"/>
            <w:tcBorders>
              <w:top w:val="single" w:sz="4" w:space="0" w:color="auto"/>
              <w:left w:val="nil"/>
              <w:bottom w:val="single" w:sz="4" w:space="0" w:color="auto"/>
              <w:right w:val="single" w:sz="4" w:space="0" w:color="auto"/>
            </w:tcBorders>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2880,72</w:t>
            </w:r>
          </w:p>
        </w:tc>
        <w:tc>
          <w:tcPr>
            <w:tcW w:w="450" w:type="pct"/>
            <w:tcBorders>
              <w:top w:val="single" w:sz="4" w:space="0" w:color="auto"/>
              <w:left w:val="nil"/>
              <w:bottom w:val="single" w:sz="4" w:space="0" w:color="auto"/>
              <w:right w:val="single" w:sz="4" w:space="0" w:color="auto"/>
            </w:tcBorders>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3015,60</w:t>
            </w:r>
          </w:p>
        </w:tc>
        <w:tc>
          <w:tcPr>
            <w:tcW w:w="450" w:type="pct"/>
            <w:tcBorders>
              <w:top w:val="single" w:sz="4" w:space="0" w:color="auto"/>
              <w:left w:val="nil"/>
              <w:bottom w:val="single" w:sz="4" w:space="0" w:color="auto"/>
              <w:right w:val="single" w:sz="4" w:space="0" w:color="auto"/>
            </w:tcBorders>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3156,78</w:t>
            </w:r>
          </w:p>
        </w:tc>
        <w:tc>
          <w:tcPr>
            <w:tcW w:w="497" w:type="pct"/>
            <w:tcBorders>
              <w:top w:val="single" w:sz="4" w:space="0" w:color="auto"/>
              <w:left w:val="nil"/>
              <w:bottom w:val="single" w:sz="4" w:space="0" w:color="auto"/>
              <w:right w:val="single" w:sz="4" w:space="0" w:color="auto"/>
            </w:tcBorders>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3903,06</w:t>
            </w:r>
          </w:p>
        </w:tc>
      </w:tr>
      <w:tr w:rsidR="00171D1D" w:rsidRPr="00592BA7" w:rsidTr="00592BA7">
        <w:trPr>
          <w:trHeight w:val="20"/>
        </w:trPr>
        <w:tc>
          <w:tcPr>
            <w:tcW w:w="224"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w:t>
            </w:r>
          </w:p>
        </w:tc>
        <w:tc>
          <w:tcPr>
            <w:tcW w:w="1522" w:type="pct"/>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Размеры регионального стандарта стоимости жилищно-коммунальных услуг на 1 человека</w:t>
            </w:r>
          </w:p>
        </w:tc>
        <w:tc>
          <w:tcPr>
            <w:tcW w:w="5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руб./мес.</w:t>
            </w:r>
          </w:p>
        </w:tc>
        <w:tc>
          <w:tcPr>
            <w:tcW w:w="450" w:type="pct"/>
            <w:tcBorders>
              <w:top w:val="nil"/>
              <w:left w:val="single" w:sz="4" w:space="0" w:color="auto"/>
              <w:bottom w:val="single" w:sz="4" w:space="0" w:color="auto"/>
              <w:right w:val="single" w:sz="4" w:space="0" w:color="auto"/>
            </w:tcBorders>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3207,56</w:t>
            </w:r>
          </w:p>
        </w:tc>
        <w:tc>
          <w:tcPr>
            <w:tcW w:w="450" w:type="pct"/>
            <w:tcBorders>
              <w:top w:val="nil"/>
              <w:left w:val="nil"/>
              <w:bottom w:val="single" w:sz="4" w:space="0" w:color="auto"/>
              <w:right w:val="single" w:sz="4" w:space="0" w:color="auto"/>
            </w:tcBorders>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3322</w:t>
            </w:r>
          </w:p>
        </w:tc>
        <w:tc>
          <w:tcPr>
            <w:tcW w:w="450" w:type="pct"/>
            <w:tcBorders>
              <w:top w:val="nil"/>
              <w:left w:val="nil"/>
              <w:bottom w:val="single" w:sz="4" w:space="0" w:color="auto"/>
              <w:right w:val="single" w:sz="4" w:space="0" w:color="auto"/>
            </w:tcBorders>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3442</w:t>
            </w:r>
          </w:p>
        </w:tc>
        <w:tc>
          <w:tcPr>
            <w:tcW w:w="450" w:type="pct"/>
            <w:tcBorders>
              <w:top w:val="nil"/>
              <w:left w:val="nil"/>
              <w:bottom w:val="single" w:sz="4" w:space="0" w:color="auto"/>
              <w:right w:val="single" w:sz="4" w:space="0" w:color="auto"/>
            </w:tcBorders>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3567</w:t>
            </w:r>
          </w:p>
        </w:tc>
        <w:tc>
          <w:tcPr>
            <w:tcW w:w="450" w:type="pct"/>
            <w:tcBorders>
              <w:top w:val="nil"/>
              <w:left w:val="nil"/>
              <w:bottom w:val="single" w:sz="4" w:space="0" w:color="auto"/>
              <w:right w:val="single" w:sz="4" w:space="0" w:color="auto"/>
            </w:tcBorders>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3998</w:t>
            </w:r>
          </w:p>
        </w:tc>
        <w:tc>
          <w:tcPr>
            <w:tcW w:w="497" w:type="pct"/>
            <w:tcBorders>
              <w:top w:val="nil"/>
              <w:left w:val="nil"/>
              <w:bottom w:val="single" w:sz="4" w:space="0" w:color="auto"/>
              <w:right w:val="single" w:sz="4" w:space="0" w:color="auto"/>
            </w:tcBorders>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4583</w:t>
            </w:r>
          </w:p>
        </w:tc>
      </w:tr>
      <w:tr w:rsidR="00171D1D" w:rsidRPr="00592BA7" w:rsidTr="00592BA7">
        <w:trPr>
          <w:trHeight w:val="20"/>
        </w:trPr>
        <w:tc>
          <w:tcPr>
            <w:tcW w:w="224"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w:t>
            </w:r>
          </w:p>
        </w:tc>
        <w:tc>
          <w:tcPr>
            <w:tcW w:w="1522" w:type="pct"/>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Разница между предельной стоимостью ЖКУ и удельным прогнозируемым расходом</w:t>
            </w:r>
          </w:p>
        </w:tc>
        <w:tc>
          <w:tcPr>
            <w:tcW w:w="5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руб./мес.</w:t>
            </w:r>
          </w:p>
        </w:tc>
        <w:tc>
          <w:tcPr>
            <w:tcW w:w="450" w:type="pct"/>
            <w:tcBorders>
              <w:top w:val="nil"/>
              <w:left w:val="single" w:sz="4" w:space="0" w:color="auto"/>
              <w:bottom w:val="single" w:sz="4" w:space="0" w:color="auto"/>
              <w:right w:val="single" w:sz="4" w:space="0" w:color="auto"/>
            </w:tcBorders>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578,76</w:t>
            </w:r>
          </w:p>
        </w:tc>
        <w:tc>
          <w:tcPr>
            <w:tcW w:w="450" w:type="pct"/>
            <w:tcBorders>
              <w:top w:val="nil"/>
              <w:left w:val="nil"/>
              <w:bottom w:val="single" w:sz="4" w:space="0" w:color="auto"/>
              <w:right w:val="single" w:sz="4" w:space="0" w:color="auto"/>
            </w:tcBorders>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570,11</w:t>
            </w:r>
          </w:p>
        </w:tc>
        <w:tc>
          <w:tcPr>
            <w:tcW w:w="450" w:type="pct"/>
            <w:tcBorders>
              <w:top w:val="nil"/>
              <w:left w:val="nil"/>
              <w:bottom w:val="single" w:sz="4" w:space="0" w:color="auto"/>
              <w:right w:val="single" w:sz="4" w:space="0" w:color="auto"/>
            </w:tcBorders>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561,28</w:t>
            </w:r>
          </w:p>
        </w:tc>
        <w:tc>
          <w:tcPr>
            <w:tcW w:w="450" w:type="pct"/>
            <w:tcBorders>
              <w:top w:val="nil"/>
              <w:left w:val="nil"/>
              <w:bottom w:val="single" w:sz="4" w:space="0" w:color="auto"/>
              <w:right w:val="single" w:sz="4" w:space="0" w:color="auto"/>
            </w:tcBorders>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551,4</w:t>
            </w:r>
          </w:p>
        </w:tc>
        <w:tc>
          <w:tcPr>
            <w:tcW w:w="450" w:type="pct"/>
            <w:tcBorders>
              <w:top w:val="nil"/>
              <w:left w:val="nil"/>
              <w:bottom w:val="single" w:sz="4" w:space="0" w:color="auto"/>
              <w:right w:val="single" w:sz="4" w:space="0" w:color="auto"/>
            </w:tcBorders>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841,22</w:t>
            </w:r>
          </w:p>
        </w:tc>
        <w:tc>
          <w:tcPr>
            <w:tcW w:w="497" w:type="pct"/>
            <w:tcBorders>
              <w:top w:val="nil"/>
              <w:left w:val="nil"/>
              <w:bottom w:val="single" w:sz="4" w:space="0" w:color="auto"/>
              <w:right w:val="single" w:sz="4" w:space="0" w:color="auto"/>
            </w:tcBorders>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679,94</w:t>
            </w:r>
          </w:p>
        </w:tc>
      </w:tr>
    </w:tbl>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br w:type="page"/>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Раздел 17 Модель для расчета программы</w:t>
      </w:r>
    </w:p>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Для расчета Программы применялась линейная модель. </w:t>
      </w:r>
    </w:p>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Для моделирования инвестиционной деятельности, капитального строительства и реконструкции объектов основных средств, в модели отражены стоимостные характеристики и объемные показатели работ.</w:t>
      </w:r>
    </w:p>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Расчет основных целевых показателей программы проводился исходя из данных, полученных от администрации муниципального образования, ресурсоснабжающих организаций, организаций коммунального комплекса.</w:t>
      </w:r>
    </w:p>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За основу были взяты фактические балансовые показатели по ресурсоснабжению, инженерные характеристики существующего оборудования в соответствии с:</w:t>
      </w:r>
    </w:p>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Генеральным планом муниципального образования, разработанным в соответствии с Градостроительным кодексом Российской Федерации;</w:t>
      </w:r>
    </w:p>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Схемы теплоснабжения;</w:t>
      </w:r>
    </w:p>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Схемы водоснабжения и водоотведения.</w:t>
      </w:r>
    </w:p>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С учетом прогноза были сделаны выводы по существующему состоянию инженерной инфраструктуры, были предложены мероприятия по совершенствованию, модернизации существующих инженерных комплексов.</w:t>
      </w:r>
    </w:p>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Все расчёты выполнялись с использованием программы Microsoft Excel.</w:t>
      </w:r>
    </w:p>
    <w:p w:rsidR="00171D1D" w:rsidRPr="00592BA7" w:rsidRDefault="00171D1D" w:rsidP="00592BA7">
      <w:pPr>
        <w:jc w:val="both"/>
        <w:rPr>
          <w:rFonts w:ascii="Times New Roman" w:hAnsi="Times New Roman" w:cs="Times New Roman"/>
          <w:sz w:val="20"/>
          <w:szCs w:val="20"/>
        </w:rPr>
      </w:pPr>
    </w:p>
    <w:p w:rsidR="00C973DE" w:rsidRPr="00592BA7" w:rsidRDefault="00C973DE" w:rsidP="00592BA7">
      <w:pPr>
        <w:autoSpaceDE w:val="0"/>
        <w:autoSpaceDN w:val="0"/>
        <w:adjustRightInd w:val="0"/>
        <w:spacing w:after="0" w:line="240" w:lineRule="auto"/>
        <w:jc w:val="both"/>
        <w:rPr>
          <w:rFonts w:ascii="Times New Roman" w:hAnsi="Times New Roman" w:cs="Times New Roman"/>
          <w:sz w:val="20"/>
          <w:szCs w:val="20"/>
        </w:rPr>
      </w:pPr>
    </w:p>
    <w:sectPr w:rsidR="00C973DE" w:rsidRPr="00592BA7" w:rsidSect="004B78BB">
      <w:pgSz w:w="11906" w:h="16838"/>
      <w:pgMar w:top="1021" w:right="964" w:bottom="992"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C53F1" w:rsidRDefault="00AC53F1" w:rsidP="00200E18">
      <w:pPr>
        <w:spacing w:after="0" w:line="240" w:lineRule="auto"/>
      </w:pPr>
      <w:r>
        <w:separator/>
      </w:r>
    </w:p>
  </w:endnote>
  <w:endnote w:type="continuationSeparator" w:id="0">
    <w:p w:rsidR="00AC53F1" w:rsidRDefault="00AC53F1" w:rsidP="00200E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TimesET">
    <w:altName w:val="Times New Roman"/>
    <w:charset w:val="00"/>
    <w:family w:val="auto"/>
    <w:pitch w:val="variable"/>
    <w:sig w:usb0="00000003" w:usb1="00000000" w:usb2="00000000" w:usb3="00000000" w:csb0="00000005"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2BA7" w:rsidRPr="00171D1D" w:rsidRDefault="00592BA7" w:rsidP="00171D1D"/>
  <w:p w:rsidR="00592BA7" w:rsidRPr="00171D1D" w:rsidRDefault="00592BA7" w:rsidP="00171D1D"/>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C53F1" w:rsidRDefault="00AC53F1" w:rsidP="00200E18">
      <w:pPr>
        <w:spacing w:after="0" w:line="240" w:lineRule="auto"/>
      </w:pPr>
      <w:r>
        <w:separator/>
      </w:r>
    </w:p>
  </w:footnote>
  <w:footnote w:type="continuationSeparator" w:id="0">
    <w:p w:rsidR="00AC53F1" w:rsidRDefault="00AC53F1" w:rsidP="00200E18">
      <w:pPr>
        <w:spacing w:after="0" w:line="240" w:lineRule="auto"/>
      </w:pPr>
      <w:r>
        <w:continuationSeparator/>
      </w:r>
    </w:p>
  </w:footnote>
  <w:footnote w:id="1">
    <w:p w:rsidR="00592BA7" w:rsidRPr="00171D1D" w:rsidRDefault="00592BA7" w:rsidP="00171D1D">
      <w:r w:rsidRPr="00171D1D">
        <w:footnoteRef/>
      </w:r>
      <w:r w:rsidRPr="00171D1D">
        <w:t xml:space="preserve"> Приказ Минрегиона РФ от 06 мая 2011года №204 «О разработке программ комплексного развития систем коммунальной инфраструктуры муниципальных образований» (вместе с «Методическими рекомендациями по разработке </w:t>
      </w:r>
      <w:proofErr w:type="gramStart"/>
      <w:r w:rsidRPr="00171D1D">
        <w:t>программ комплексного развития систем коммунальной инфраструктуры муниципальных образований</w:t>
      </w:r>
      <w:proofErr w:type="gramEnd"/>
      <w:r w:rsidRPr="00171D1D">
        <w:t>»)</w:t>
      </w:r>
    </w:p>
  </w:footnote>
  <w:footnote w:id="2">
    <w:p w:rsidR="00592BA7" w:rsidRPr="00171D1D" w:rsidRDefault="00592BA7" w:rsidP="00171D1D">
      <w:r w:rsidRPr="00171D1D">
        <w:footnoteRef/>
      </w:r>
      <w:r w:rsidRPr="00171D1D">
        <w:t xml:space="preserve"> Приказ Минрегиона РФ от 14 апреля 2008года №48 «Об утверждении Методики проведения мониторинга выполнения производственных и инвестиционных программ организаций коммунального комплекса»</w:t>
      </w:r>
    </w:p>
  </w:footnote>
  <w:footnote w:id="3">
    <w:p w:rsidR="00592BA7" w:rsidRPr="00171D1D" w:rsidRDefault="00592BA7" w:rsidP="00171D1D">
      <w:r w:rsidRPr="00171D1D">
        <w:footnoteRef/>
      </w:r>
      <w:r w:rsidRPr="00171D1D">
        <w:t xml:space="preserve"> Приказ Министерства регионального развития Российской Федерации от 14 апреля 2008года № 48 «Об утверждении методики проведения мониторинга выполнения производственных и инвестиционных программ организаций коммунального комплекса».</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C8471F"/>
    <w:multiLevelType w:val="multilevel"/>
    <w:tmpl w:val="FED4999A"/>
    <w:lvl w:ilvl="0">
      <w:start w:val="1"/>
      <w:numFmt w:val="decimal"/>
      <w:lvlText w:val="%1."/>
      <w:lvlJc w:val="left"/>
      <w:pPr>
        <w:tabs>
          <w:tab w:val="num" w:pos="1221"/>
        </w:tabs>
        <w:ind w:left="1221" w:hanging="795"/>
      </w:pPr>
      <w:rPr>
        <w:rFonts w:ascii="Times New Roman" w:eastAsiaTheme="minorHAnsi" w:hAnsi="Times New Roman" w:cs="Times New Roman"/>
      </w:rPr>
    </w:lvl>
    <w:lvl w:ilvl="1">
      <w:start w:val="2"/>
      <w:numFmt w:val="decimal"/>
      <w:isLgl/>
      <w:lvlText w:val="%1.%2."/>
      <w:lvlJc w:val="left"/>
      <w:pPr>
        <w:ind w:left="1864" w:hanging="1155"/>
      </w:pPr>
      <w:rPr>
        <w:rFonts w:hint="default"/>
      </w:rPr>
    </w:lvl>
    <w:lvl w:ilvl="2">
      <w:start w:val="1"/>
      <w:numFmt w:val="decimal"/>
      <w:isLgl/>
      <w:lvlText w:val="%1.%2.%3."/>
      <w:lvlJc w:val="left"/>
      <w:pPr>
        <w:ind w:left="2147" w:hanging="1155"/>
      </w:pPr>
      <w:rPr>
        <w:rFonts w:hint="default"/>
      </w:rPr>
    </w:lvl>
    <w:lvl w:ilvl="3">
      <w:start w:val="1"/>
      <w:numFmt w:val="decimal"/>
      <w:isLgl/>
      <w:lvlText w:val="%1.%2.%3.%4."/>
      <w:lvlJc w:val="left"/>
      <w:pPr>
        <w:ind w:left="2430" w:hanging="1155"/>
      </w:pPr>
      <w:rPr>
        <w:rFonts w:hint="default"/>
      </w:rPr>
    </w:lvl>
    <w:lvl w:ilvl="4">
      <w:start w:val="1"/>
      <w:numFmt w:val="decimal"/>
      <w:isLgl/>
      <w:lvlText w:val="%1.%2.%3.%4.%5."/>
      <w:lvlJc w:val="left"/>
      <w:pPr>
        <w:ind w:left="2713" w:hanging="1155"/>
      </w:pPr>
      <w:rPr>
        <w:rFonts w:hint="default"/>
      </w:rPr>
    </w:lvl>
    <w:lvl w:ilvl="5">
      <w:start w:val="1"/>
      <w:numFmt w:val="decimal"/>
      <w:isLgl/>
      <w:lvlText w:val="%1.%2.%3.%4.%5.%6."/>
      <w:lvlJc w:val="left"/>
      <w:pPr>
        <w:ind w:left="2996" w:hanging="1155"/>
      </w:pPr>
      <w:rPr>
        <w:rFonts w:hint="default"/>
      </w:rPr>
    </w:lvl>
    <w:lvl w:ilvl="6">
      <w:start w:val="1"/>
      <w:numFmt w:val="decimal"/>
      <w:isLgl/>
      <w:lvlText w:val="%1.%2.%3.%4.%5.%6.%7."/>
      <w:lvlJc w:val="left"/>
      <w:pPr>
        <w:ind w:left="3564" w:hanging="1440"/>
      </w:pPr>
      <w:rPr>
        <w:rFonts w:hint="default"/>
      </w:rPr>
    </w:lvl>
    <w:lvl w:ilvl="7">
      <w:start w:val="1"/>
      <w:numFmt w:val="decimal"/>
      <w:isLgl/>
      <w:lvlText w:val="%1.%2.%3.%4.%5.%6.%7.%8."/>
      <w:lvlJc w:val="left"/>
      <w:pPr>
        <w:ind w:left="3847" w:hanging="1440"/>
      </w:pPr>
      <w:rPr>
        <w:rFonts w:hint="default"/>
      </w:rPr>
    </w:lvl>
    <w:lvl w:ilvl="8">
      <w:start w:val="1"/>
      <w:numFmt w:val="decimal"/>
      <w:isLgl/>
      <w:lvlText w:val="%1.%2.%3.%4.%5.%6.%7.%8.%9."/>
      <w:lvlJc w:val="left"/>
      <w:pPr>
        <w:ind w:left="4490" w:hanging="1800"/>
      </w:pPr>
      <w:rPr>
        <w:rFonts w:hint="default"/>
      </w:rPr>
    </w:lvl>
  </w:abstractNum>
  <w:abstractNum w:abstractNumId="1">
    <w:nsid w:val="1A8C247E"/>
    <w:multiLevelType w:val="multilevel"/>
    <w:tmpl w:val="846A45BC"/>
    <w:lvl w:ilvl="0">
      <w:start w:val="1"/>
      <w:numFmt w:val="decimal"/>
      <w:lvlText w:val="%1."/>
      <w:lvlJc w:val="left"/>
      <w:pPr>
        <w:tabs>
          <w:tab w:val="num" w:pos="1758"/>
        </w:tabs>
        <w:ind w:left="1758" w:hanging="1050"/>
      </w:pPr>
      <w:rPr>
        <w:rFonts w:ascii="Times New Roman" w:hAnsi="Times New Roman" w:cs="Times New Roman" w:hint="default"/>
        <w:b w:val="0"/>
        <w:sz w:val="24"/>
        <w:szCs w:val="24"/>
      </w:rPr>
    </w:lvl>
    <w:lvl w:ilvl="1">
      <w:start w:val="1"/>
      <w:numFmt w:val="decimal"/>
      <w:isLgl/>
      <w:lvlText w:val="%1.%2."/>
      <w:lvlJc w:val="left"/>
      <w:pPr>
        <w:ind w:left="1430" w:hanging="7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868" w:hanging="2160"/>
      </w:pPr>
      <w:rPr>
        <w:rFonts w:hint="default"/>
      </w:rPr>
    </w:lvl>
  </w:abstractNum>
  <w:abstractNum w:abstractNumId="2">
    <w:nsid w:val="1F693D6E"/>
    <w:multiLevelType w:val="hybridMultilevel"/>
    <w:tmpl w:val="537635A0"/>
    <w:lvl w:ilvl="0" w:tplc="2F0E70E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37FB4E49"/>
    <w:multiLevelType w:val="hybridMultilevel"/>
    <w:tmpl w:val="C2167BF8"/>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D0F3637"/>
    <w:multiLevelType w:val="hybridMultilevel"/>
    <w:tmpl w:val="165076D0"/>
    <w:lvl w:ilvl="0" w:tplc="7570B9CA">
      <w:start w:val="1"/>
      <w:numFmt w:val="decimal"/>
      <w:lvlText w:val="%1."/>
      <w:lvlJc w:val="left"/>
      <w:pPr>
        <w:ind w:left="1020" w:hanging="360"/>
      </w:pPr>
      <w:rPr>
        <w:rFonts w:hint="default"/>
      </w:rPr>
    </w:lvl>
    <w:lvl w:ilvl="1" w:tplc="04190019" w:tentative="1">
      <w:start w:val="1"/>
      <w:numFmt w:val="lowerLetter"/>
      <w:lvlText w:val="%2."/>
      <w:lvlJc w:val="left"/>
      <w:pPr>
        <w:ind w:left="1740" w:hanging="360"/>
      </w:pPr>
    </w:lvl>
    <w:lvl w:ilvl="2" w:tplc="0419001B" w:tentative="1">
      <w:start w:val="1"/>
      <w:numFmt w:val="lowerRoman"/>
      <w:lvlText w:val="%3."/>
      <w:lvlJc w:val="right"/>
      <w:pPr>
        <w:ind w:left="2460" w:hanging="180"/>
      </w:pPr>
    </w:lvl>
    <w:lvl w:ilvl="3" w:tplc="0419000F" w:tentative="1">
      <w:start w:val="1"/>
      <w:numFmt w:val="decimal"/>
      <w:lvlText w:val="%4."/>
      <w:lvlJc w:val="left"/>
      <w:pPr>
        <w:ind w:left="3180" w:hanging="360"/>
      </w:pPr>
    </w:lvl>
    <w:lvl w:ilvl="4" w:tplc="04190019" w:tentative="1">
      <w:start w:val="1"/>
      <w:numFmt w:val="lowerLetter"/>
      <w:lvlText w:val="%5."/>
      <w:lvlJc w:val="left"/>
      <w:pPr>
        <w:ind w:left="3900" w:hanging="360"/>
      </w:pPr>
    </w:lvl>
    <w:lvl w:ilvl="5" w:tplc="0419001B" w:tentative="1">
      <w:start w:val="1"/>
      <w:numFmt w:val="lowerRoman"/>
      <w:lvlText w:val="%6."/>
      <w:lvlJc w:val="right"/>
      <w:pPr>
        <w:ind w:left="4620" w:hanging="180"/>
      </w:pPr>
    </w:lvl>
    <w:lvl w:ilvl="6" w:tplc="0419000F" w:tentative="1">
      <w:start w:val="1"/>
      <w:numFmt w:val="decimal"/>
      <w:lvlText w:val="%7."/>
      <w:lvlJc w:val="left"/>
      <w:pPr>
        <w:ind w:left="5340" w:hanging="360"/>
      </w:pPr>
    </w:lvl>
    <w:lvl w:ilvl="7" w:tplc="04190019" w:tentative="1">
      <w:start w:val="1"/>
      <w:numFmt w:val="lowerLetter"/>
      <w:lvlText w:val="%8."/>
      <w:lvlJc w:val="left"/>
      <w:pPr>
        <w:ind w:left="6060" w:hanging="360"/>
      </w:pPr>
    </w:lvl>
    <w:lvl w:ilvl="8" w:tplc="0419001B" w:tentative="1">
      <w:start w:val="1"/>
      <w:numFmt w:val="lowerRoman"/>
      <w:lvlText w:val="%9."/>
      <w:lvlJc w:val="right"/>
      <w:pPr>
        <w:ind w:left="6780" w:hanging="180"/>
      </w:pPr>
    </w:lvl>
  </w:abstractNum>
  <w:abstractNum w:abstractNumId="5">
    <w:nsid w:val="4B4C785D"/>
    <w:multiLevelType w:val="multilevel"/>
    <w:tmpl w:val="DFA0AA88"/>
    <w:lvl w:ilvl="0">
      <w:start w:val="1"/>
      <w:numFmt w:val="decimal"/>
      <w:lvlText w:val="%1."/>
      <w:lvlJc w:val="left"/>
      <w:pPr>
        <w:ind w:left="360" w:hanging="360"/>
      </w:pPr>
      <w:rPr>
        <w:rFonts w:ascii="Times New Roman" w:eastAsiaTheme="minorHAnsi" w:hAnsi="Times New Roman" w:cs="Times New Roman"/>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nsid w:val="67C70AB1"/>
    <w:multiLevelType w:val="hybridMultilevel"/>
    <w:tmpl w:val="D122A1D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68F30B7A"/>
    <w:multiLevelType w:val="hybridMultilevel"/>
    <w:tmpl w:val="6DDC3434"/>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79032DEC"/>
    <w:multiLevelType w:val="hybridMultilevel"/>
    <w:tmpl w:val="92D6C756"/>
    <w:lvl w:ilvl="0" w:tplc="3E885BB4">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4"/>
  </w:num>
  <w:num w:numId="4">
    <w:abstractNumId w:val="0"/>
  </w:num>
  <w:num w:numId="5">
    <w:abstractNumId w:val="1"/>
  </w:num>
  <w:num w:numId="6">
    <w:abstractNumId w:val="5"/>
  </w:num>
  <w:num w:numId="7">
    <w:abstractNumId w:val="6"/>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53EF"/>
    <w:rsid w:val="000442F9"/>
    <w:rsid w:val="00044E07"/>
    <w:rsid w:val="000614EC"/>
    <w:rsid w:val="0006260E"/>
    <w:rsid w:val="00063C46"/>
    <w:rsid w:val="00074107"/>
    <w:rsid w:val="000853EB"/>
    <w:rsid w:val="00097A90"/>
    <w:rsid w:val="000B4D79"/>
    <w:rsid w:val="000E63AD"/>
    <w:rsid w:val="00110CBD"/>
    <w:rsid w:val="00137E33"/>
    <w:rsid w:val="00141BF1"/>
    <w:rsid w:val="00171D1D"/>
    <w:rsid w:val="0017480E"/>
    <w:rsid w:val="00180308"/>
    <w:rsid w:val="001863F2"/>
    <w:rsid w:val="00191274"/>
    <w:rsid w:val="00193630"/>
    <w:rsid w:val="001B0E9B"/>
    <w:rsid w:val="001C2112"/>
    <w:rsid w:val="001C2525"/>
    <w:rsid w:val="001E0E0F"/>
    <w:rsid w:val="001F5F8F"/>
    <w:rsid w:val="00200E18"/>
    <w:rsid w:val="00200E58"/>
    <w:rsid w:val="002020D2"/>
    <w:rsid w:val="00203768"/>
    <w:rsid w:val="00204EC4"/>
    <w:rsid w:val="00227ABA"/>
    <w:rsid w:val="00257CE2"/>
    <w:rsid w:val="0027347C"/>
    <w:rsid w:val="00274239"/>
    <w:rsid w:val="0027705D"/>
    <w:rsid w:val="00290F7C"/>
    <w:rsid w:val="00294839"/>
    <w:rsid w:val="002A56EF"/>
    <w:rsid w:val="002B1CFA"/>
    <w:rsid w:val="002B5206"/>
    <w:rsid w:val="003068EB"/>
    <w:rsid w:val="00315CE7"/>
    <w:rsid w:val="00333C67"/>
    <w:rsid w:val="00342DDF"/>
    <w:rsid w:val="0034534B"/>
    <w:rsid w:val="003670ED"/>
    <w:rsid w:val="00394242"/>
    <w:rsid w:val="003948FD"/>
    <w:rsid w:val="003A4728"/>
    <w:rsid w:val="003D13D3"/>
    <w:rsid w:val="00422779"/>
    <w:rsid w:val="00430BCA"/>
    <w:rsid w:val="004418C9"/>
    <w:rsid w:val="0046547C"/>
    <w:rsid w:val="0047315D"/>
    <w:rsid w:val="004B78BB"/>
    <w:rsid w:val="004D40AC"/>
    <w:rsid w:val="004D4853"/>
    <w:rsid w:val="0050251D"/>
    <w:rsid w:val="00505F52"/>
    <w:rsid w:val="00535E89"/>
    <w:rsid w:val="005460C9"/>
    <w:rsid w:val="00561D75"/>
    <w:rsid w:val="00562AAC"/>
    <w:rsid w:val="00564DD0"/>
    <w:rsid w:val="005675B4"/>
    <w:rsid w:val="00586C3A"/>
    <w:rsid w:val="00592BA7"/>
    <w:rsid w:val="005A57D0"/>
    <w:rsid w:val="005B5A69"/>
    <w:rsid w:val="005D0B8B"/>
    <w:rsid w:val="005D3073"/>
    <w:rsid w:val="005E6D57"/>
    <w:rsid w:val="006017E2"/>
    <w:rsid w:val="006026A5"/>
    <w:rsid w:val="006153D4"/>
    <w:rsid w:val="00635F0F"/>
    <w:rsid w:val="00637E8C"/>
    <w:rsid w:val="00645E80"/>
    <w:rsid w:val="00653E9A"/>
    <w:rsid w:val="00654E30"/>
    <w:rsid w:val="006574EE"/>
    <w:rsid w:val="00684F7D"/>
    <w:rsid w:val="00687A70"/>
    <w:rsid w:val="006945BD"/>
    <w:rsid w:val="006B2703"/>
    <w:rsid w:val="006B3E3F"/>
    <w:rsid w:val="006D5075"/>
    <w:rsid w:val="006D7E9B"/>
    <w:rsid w:val="006F556E"/>
    <w:rsid w:val="006F5DA7"/>
    <w:rsid w:val="007347D4"/>
    <w:rsid w:val="00740A27"/>
    <w:rsid w:val="007528F1"/>
    <w:rsid w:val="007546C6"/>
    <w:rsid w:val="007953CF"/>
    <w:rsid w:val="007B3F30"/>
    <w:rsid w:val="007C4396"/>
    <w:rsid w:val="007E1DAE"/>
    <w:rsid w:val="007E3546"/>
    <w:rsid w:val="007F0E39"/>
    <w:rsid w:val="0080120B"/>
    <w:rsid w:val="00801354"/>
    <w:rsid w:val="00803EC9"/>
    <w:rsid w:val="0082008A"/>
    <w:rsid w:val="0085718E"/>
    <w:rsid w:val="00860526"/>
    <w:rsid w:val="00895C1D"/>
    <w:rsid w:val="008A0287"/>
    <w:rsid w:val="008A2538"/>
    <w:rsid w:val="008B06F4"/>
    <w:rsid w:val="008C5001"/>
    <w:rsid w:val="008D457B"/>
    <w:rsid w:val="008D6C37"/>
    <w:rsid w:val="008E4AD6"/>
    <w:rsid w:val="008E6416"/>
    <w:rsid w:val="00900EB5"/>
    <w:rsid w:val="009060B9"/>
    <w:rsid w:val="009134FD"/>
    <w:rsid w:val="00935D81"/>
    <w:rsid w:val="00941794"/>
    <w:rsid w:val="0094612D"/>
    <w:rsid w:val="0095656C"/>
    <w:rsid w:val="00967B2E"/>
    <w:rsid w:val="00976CA5"/>
    <w:rsid w:val="00987582"/>
    <w:rsid w:val="00991306"/>
    <w:rsid w:val="009A582A"/>
    <w:rsid w:val="009B3846"/>
    <w:rsid w:val="009B3FE4"/>
    <w:rsid w:val="009C524F"/>
    <w:rsid w:val="009C6C38"/>
    <w:rsid w:val="009D3709"/>
    <w:rsid w:val="00A00CBD"/>
    <w:rsid w:val="00A06B76"/>
    <w:rsid w:val="00A210FB"/>
    <w:rsid w:val="00A35DEC"/>
    <w:rsid w:val="00A54514"/>
    <w:rsid w:val="00A620C3"/>
    <w:rsid w:val="00A72A11"/>
    <w:rsid w:val="00AC53F1"/>
    <w:rsid w:val="00AF01EC"/>
    <w:rsid w:val="00AF3753"/>
    <w:rsid w:val="00B05A13"/>
    <w:rsid w:val="00B1756F"/>
    <w:rsid w:val="00B20A6F"/>
    <w:rsid w:val="00B5306D"/>
    <w:rsid w:val="00BD1C9D"/>
    <w:rsid w:val="00BD4D65"/>
    <w:rsid w:val="00BE04E3"/>
    <w:rsid w:val="00BE6C43"/>
    <w:rsid w:val="00C31A19"/>
    <w:rsid w:val="00C5331A"/>
    <w:rsid w:val="00C61003"/>
    <w:rsid w:val="00C61A72"/>
    <w:rsid w:val="00C67DB4"/>
    <w:rsid w:val="00C973DE"/>
    <w:rsid w:val="00CC4914"/>
    <w:rsid w:val="00D34608"/>
    <w:rsid w:val="00D72B28"/>
    <w:rsid w:val="00D94087"/>
    <w:rsid w:val="00D9776C"/>
    <w:rsid w:val="00DB3ED7"/>
    <w:rsid w:val="00DC2B69"/>
    <w:rsid w:val="00DC6B85"/>
    <w:rsid w:val="00DC6CE1"/>
    <w:rsid w:val="00DD4782"/>
    <w:rsid w:val="00E3170A"/>
    <w:rsid w:val="00E362A3"/>
    <w:rsid w:val="00E45BDF"/>
    <w:rsid w:val="00E53415"/>
    <w:rsid w:val="00E54947"/>
    <w:rsid w:val="00E80B78"/>
    <w:rsid w:val="00EB4DDA"/>
    <w:rsid w:val="00EF1591"/>
    <w:rsid w:val="00F05C8A"/>
    <w:rsid w:val="00F22ED2"/>
    <w:rsid w:val="00F25600"/>
    <w:rsid w:val="00F453EF"/>
    <w:rsid w:val="00F66B7E"/>
    <w:rsid w:val="00F81710"/>
    <w:rsid w:val="00FD1009"/>
    <w:rsid w:val="00FE67F0"/>
    <w:rsid w:val="00FE728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time"/>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453E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 Знак"/>
    <w:aliases w:val="Основной текст_ Знак"/>
    <w:basedOn w:val="a0"/>
    <w:link w:val="a4"/>
    <w:semiHidden/>
    <w:locked/>
    <w:rsid w:val="00F453EF"/>
    <w:rPr>
      <w:rFonts w:ascii="Courier New" w:eastAsia="Courier New" w:hAnsi="Courier New" w:cs="Courier New"/>
      <w:sz w:val="27"/>
      <w:szCs w:val="27"/>
      <w:shd w:val="clear" w:color="auto" w:fill="FFFFFF"/>
    </w:rPr>
  </w:style>
  <w:style w:type="paragraph" w:styleId="a4">
    <w:name w:val="Body Text"/>
    <w:aliases w:val="Основной текст_"/>
    <w:basedOn w:val="a"/>
    <w:link w:val="a3"/>
    <w:semiHidden/>
    <w:unhideWhenUsed/>
    <w:rsid w:val="00F453EF"/>
    <w:pPr>
      <w:widowControl w:val="0"/>
      <w:shd w:val="clear" w:color="auto" w:fill="FFFFFF"/>
      <w:spacing w:before="300" w:after="540" w:line="240" w:lineRule="atLeast"/>
      <w:ind w:hanging="360"/>
    </w:pPr>
    <w:rPr>
      <w:rFonts w:ascii="Courier New" w:eastAsia="Courier New" w:hAnsi="Courier New" w:cs="Courier New"/>
      <w:sz w:val="27"/>
      <w:szCs w:val="27"/>
    </w:rPr>
  </w:style>
  <w:style w:type="character" w:customStyle="1" w:styleId="1">
    <w:name w:val="Основной текст Знак1"/>
    <w:basedOn w:val="a0"/>
    <w:uiPriority w:val="99"/>
    <w:semiHidden/>
    <w:rsid w:val="00F453EF"/>
  </w:style>
  <w:style w:type="paragraph" w:styleId="a5">
    <w:name w:val="List Paragraph"/>
    <w:basedOn w:val="a"/>
    <w:uiPriority w:val="34"/>
    <w:qFormat/>
    <w:rsid w:val="00F453EF"/>
    <w:pPr>
      <w:ind w:left="720"/>
      <w:contextualSpacing/>
    </w:pPr>
  </w:style>
  <w:style w:type="table" w:styleId="a6">
    <w:name w:val="Table Grid"/>
    <w:basedOn w:val="a1"/>
    <w:uiPriority w:val="39"/>
    <w:rsid w:val="00F453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a8"/>
    <w:uiPriority w:val="99"/>
    <w:semiHidden/>
    <w:unhideWhenUsed/>
    <w:rsid w:val="00DC6CE1"/>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DC6CE1"/>
    <w:rPr>
      <w:rFonts w:ascii="Tahoma" w:hAnsi="Tahoma" w:cs="Tahoma"/>
      <w:sz w:val="16"/>
      <w:szCs w:val="16"/>
    </w:rPr>
  </w:style>
  <w:style w:type="paragraph" w:styleId="a9">
    <w:name w:val="No Spacing"/>
    <w:uiPriority w:val="1"/>
    <w:qFormat/>
    <w:rsid w:val="005675B4"/>
    <w:pPr>
      <w:spacing w:after="0" w:line="240" w:lineRule="auto"/>
    </w:pPr>
  </w:style>
  <w:style w:type="paragraph" w:styleId="aa">
    <w:name w:val="header"/>
    <w:basedOn w:val="a"/>
    <w:link w:val="ab"/>
    <w:uiPriority w:val="99"/>
    <w:unhideWhenUsed/>
    <w:rsid w:val="00200E18"/>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200E18"/>
  </w:style>
  <w:style w:type="paragraph" w:styleId="ac">
    <w:name w:val="footer"/>
    <w:basedOn w:val="a"/>
    <w:link w:val="ad"/>
    <w:uiPriority w:val="99"/>
    <w:unhideWhenUsed/>
    <w:rsid w:val="00200E18"/>
    <w:pPr>
      <w:tabs>
        <w:tab w:val="center" w:pos="4677"/>
        <w:tab w:val="right" w:pos="9355"/>
      </w:tabs>
      <w:spacing w:after="0" w:line="240" w:lineRule="auto"/>
    </w:pPr>
  </w:style>
  <w:style w:type="character" w:customStyle="1" w:styleId="ad">
    <w:name w:val="Нижний колонтитул Знак"/>
    <w:basedOn w:val="a0"/>
    <w:link w:val="ac"/>
    <w:uiPriority w:val="99"/>
    <w:rsid w:val="00200E18"/>
  </w:style>
  <w:style w:type="paragraph" w:customStyle="1" w:styleId="ConsPlusNormal">
    <w:name w:val="ConsPlusNormal"/>
    <w:rsid w:val="006D7E9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e">
    <w:name w:val="Hyperlink"/>
    <w:basedOn w:val="a0"/>
    <w:uiPriority w:val="99"/>
    <w:unhideWhenUsed/>
    <w:rsid w:val="00967B2E"/>
    <w:rPr>
      <w:color w:val="0000FF" w:themeColor="hyperlink"/>
      <w:u w:val="single"/>
    </w:rPr>
  </w:style>
  <w:style w:type="character" w:styleId="af">
    <w:name w:val="FollowedHyperlink"/>
    <w:basedOn w:val="a0"/>
    <w:uiPriority w:val="99"/>
    <w:semiHidden/>
    <w:unhideWhenUsed/>
    <w:rsid w:val="00967B2E"/>
    <w:rPr>
      <w:color w:val="800080" w:themeColor="followedHyperlink"/>
      <w:u w:val="single"/>
    </w:rPr>
  </w:style>
  <w:style w:type="paragraph" w:styleId="2">
    <w:name w:val="Body Text Indent 2"/>
    <w:basedOn w:val="a"/>
    <w:link w:val="20"/>
    <w:uiPriority w:val="99"/>
    <w:semiHidden/>
    <w:unhideWhenUsed/>
    <w:rsid w:val="00137E33"/>
    <w:pPr>
      <w:spacing w:after="120" w:line="480" w:lineRule="auto"/>
      <w:ind w:left="283"/>
    </w:pPr>
  </w:style>
  <w:style w:type="character" w:customStyle="1" w:styleId="20">
    <w:name w:val="Основной текст с отступом 2 Знак"/>
    <w:basedOn w:val="a0"/>
    <w:link w:val="2"/>
    <w:uiPriority w:val="99"/>
    <w:semiHidden/>
    <w:rsid w:val="00137E3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453E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 Знак"/>
    <w:aliases w:val="Основной текст_ Знак"/>
    <w:basedOn w:val="a0"/>
    <w:link w:val="a4"/>
    <w:semiHidden/>
    <w:locked/>
    <w:rsid w:val="00F453EF"/>
    <w:rPr>
      <w:rFonts w:ascii="Courier New" w:eastAsia="Courier New" w:hAnsi="Courier New" w:cs="Courier New"/>
      <w:sz w:val="27"/>
      <w:szCs w:val="27"/>
      <w:shd w:val="clear" w:color="auto" w:fill="FFFFFF"/>
    </w:rPr>
  </w:style>
  <w:style w:type="paragraph" w:styleId="a4">
    <w:name w:val="Body Text"/>
    <w:aliases w:val="Основной текст_"/>
    <w:basedOn w:val="a"/>
    <w:link w:val="a3"/>
    <w:semiHidden/>
    <w:unhideWhenUsed/>
    <w:rsid w:val="00F453EF"/>
    <w:pPr>
      <w:widowControl w:val="0"/>
      <w:shd w:val="clear" w:color="auto" w:fill="FFFFFF"/>
      <w:spacing w:before="300" w:after="540" w:line="240" w:lineRule="atLeast"/>
      <w:ind w:hanging="360"/>
    </w:pPr>
    <w:rPr>
      <w:rFonts w:ascii="Courier New" w:eastAsia="Courier New" w:hAnsi="Courier New" w:cs="Courier New"/>
      <w:sz w:val="27"/>
      <w:szCs w:val="27"/>
    </w:rPr>
  </w:style>
  <w:style w:type="character" w:customStyle="1" w:styleId="1">
    <w:name w:val="Основной текст Знак1"/>
    <w:basedOn w:val="a0"/>
    <w:uiPriority w:val="99"/>
    <w:semiHidden/>
    <w:rsid w:val="00F453EF"/>
  </w:style>
  <w:style w:type="paragraph" w:styleId="a5">
    <w:name w:val="List Paragraph"/>
    <w:basedOn w:val="a"/>
    <w:uiPriority w:val="34"/>
    <w:qFormat/>
    <w:rsid w:val="00F453EF"/>
    <w:pPr>
      <w:ind w:left="720"/>
      <w:contextualSpacing/>
    </w:pPr>
  </w:style>
  <w:style w:type="table" w:styleId="a6">
    <w:name w:val="Table Grid"/>
    <w:basedOn w:val="a1"/>
    <w:uiPriority w:val="39"/>
    <w:rsid w:val="00F453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a8"/>
    <w:uiPriority w:val="99"/>
    <w:semiHidden/>
    <w:unhideWhenUsed/>
    <w:rsid w:val="00DC6CE1"/>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DC6CE1"/>
    <w:rPr>
      <w:rFonts w:ascii="Tahoma" w:hAnsi="Tahoma" w:cs="Tahoma"/>
      <w:sz w:val="16"/>
      <w:szCs w:val="16"/>
    </w:rPr>
  </w:style>
  <w:style w:type="paragraph" w:styleId="a9">
    <w:name w:val="No Spacing"/>
    <w:uiPriority w:val="1"/>
    <w:qFormat/>
    <w:rsid w:val="005675B4"/>
    <w:pPr>
      <w:spacing w:after="0" w:line="240" w:lineRule="auto"/>
    </w:pPr>
  </w:style>
  <w:style w:type="paragraph" w:styleId="aa">
    <w:name w:val="header"/>
    <w:basedOn w:val="a"/>
    <w:link w:val="ab"/>
    <w:uiPriority w:val="99"/>
    <w:unhideWhenUsed/>
    <w:rsid w:val="00200E18"/>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200E18"/>
  </w:style>
  <w:style w:type="paragraph" w:styleId="ac">
    <w:name w:val="footer"/>
    <w:basedOn w:val="a"/>
    <w:link w:val="ad"/>
    <w:uiPriority w:val="99"/>
    <w:unhideWhenUsed/>
    <w:rsid w:val="00200E18"/>
    <w:pPr>
      <w:tabs>
        <w:tab w:val="center" w:pos="4677"/>
        <w:tab w:val="right" w:pos="9355"/>
      </w:tabs>
      <w:spacing w:after="0" w:line="240" w:lineRule="auto"/>
    </w:pPr>
  </w:style>
  <w:style w:type="character" w:customStyle="1" w:styleId="ad">
    <w:name w:val="Нижний колонтитул Знак"/>
    <w:basedOn w:val="a0"/>
    <w:link w:val="ac"/>
    <w:uiPriority w:val="99"/>
    <w:rsid w:val="00200E18"/>
  </w:style>
  <w:style w:type="paragraph" w:customStyle="1" w:styleId="ConsPlusNormal">
    <w:name w:val="ConsPlusNormal"/>
    <w:rsid w:val="006D7E9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e">
    <w:name w:val="Hyperlink"/>
    <w:basedOn w:val="a0"/>
    <w:uiPriority w:val="99"/>
    <w:unhideWhenUsed/>
    <w:rsid w:val="00967B2E"/>
    <w:rPr>
      <w:color w:val="0000FF" w:themeColor="hyperlink"/>
      <w:u w:val="single"/>
    </w:rPr>
  </w:style>
  <w:style w:type="character" w:styleId="af">
    <w:name w:val="FollowedHyperlink"/>
    <w:basedOn w:val="a0"/>
    <w:uiPriority w:val="99"/>
    <w:semiHidden/>
    <w:unhideWhenUsed/>
    <w:rsid w:val="00967B2E"/>
    <w:rPr>
      <w:color w:val="800080" w:themeColor="followedHyperlink"/>
      <w:u w:val="single"/>
    </w:rPr>
  </w:style>
  <w:style w:type="paragraph" w:styleId="2">
    <w:name w:val="Body Text Indent 2"/>
    <w:basedOn w:val="a"/>
    <w:link w:val="20"/>
    <w:uiPriority w:val="99"/>
    <w:semiHidden/>
    <w:unhideWhenUsed/>
    <w:rsid w:val="00137E33"/>
    <w:pPr>
      <w:spacing w:after="120" w:line="480" w:lineRule="auto"/>
      <w:ind w:left="283"/>
    </w:pPr>
  </w:style>
  <w:style w:type="character" w:customStyle="1" w:styleId="20">
    <w:name w:val="Основной текст с отступом 2 Знак"/>
    <w:basedOn w:val="a0"/>
    <w:link w:val="2"/>
    <w:uiPriority w:val="99"/>
    <w:semiHidden/>
    <w:rsid w:val="00137E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9891693">
      <w:bodyDiv w:val="1"/>
      <w:marLeft w:val="0"/>
      <w:marRight w:val="0"/>
      <w:marTop w:val="0"/>
      <w:marBottom w:val="0"/>
      <w:divBdr>
        <w:top w:val="none" w:sz="0" w:space="0" w:color="auto"/>
        <w:left w:val="none" w:sz="0" w:space="0" w:color="auto"/>
        <w:bottom w:val="none" w:sz="0" w:space="0" w:color="auto"/>
        <w:right w:val="none" w:sz="0" w:space="0" w:color="auto"/>
      </w:divBdr>
    </w:div>
    <w:div w:id="964237010">
      <w:bodyDiv w:val="1"/>
      <w:marLeft w:val="0"/>
      <w:marRight w:val="0"/>
      <w:marTop w:val="0"/>
      <w:marBottom w:val="0"/>
      <w:divBdr>
        <w:top w:val="none" w:sz="0" w:space="0" w:color="auto"/>
        <w:left w:val="none" w:sz="0" w:space="0" w:color="auto"/>
        <w:bottom w:val="none" w:sz="0" w:space="0" w:color="auto"/>
        <w:right w:val="none" w:sz="0" w:space="0" w:color="auto"/>
      </w:divBdr>
    </w:div>
    <w:div w:id="1065762554">
      <w:bodyDiv w:val="1"/>
      <w:marLeft w:val="0"/>
      <w:marRight w:val="0"/>
      <w:marTop w:val="0"/>
      <w:marBottom w:val="0"/>
      <w:divBdr>
        <w:top w:val="none" w:sz="0" w:space="0" w:color="auto"/>
        <w:left w:val="none" w:sz="0" w:space="0" w:color="auto"/>
        <w:bottom w:val="none" w:sz="0" w:space="0" w:color="auto"/>
        <w:right w:val="none" w:sz="0" w:space="0" w:color="auto"/>
      </w:divBdr>
    </w:div>
    <w:div w:id="1264221989">
      <w:bodyDiv w:val="1"/>
      <w:marLeft w:val="0"/>
      <w:marRight w:val="0"/>
      <w:marTop w:val="0"/>
      <w:marBottom w:val="0"/>
      <w:divBdr>
        <w:top w:val="none" w:sz="0" w:space="0" w:color="auto"/>
        <w:left w:val="none" w:sz="0" w:space="0" w:color="auto"/>
        <w:bottom w:val="none" w:sz="0" w:space="0" w:color="auto"/>
        <w:right w:val="none" w:sz="0" w:space="0" w:color="auto"/>
      </w:divBdr>
    </w:div>
    <w:div w:id="1598710378">
      <w:bodyDiv w:val="1"/>
      <w:marLeft w:val="0"/>
      <w:marRight w:val="0"/>
      <w:marTop w:val="0"/>
      <w:marBottom w:val="0"/>
      <w:divBdr>
        <w:top w:val="none" w:sz="0" w:space="0" w:color="auto"/>
        <w:left w:val="none" w:sz="0" w:space="0" w:color="auto"/>
        <w:bottom w:val="none" w:sz="0" w:space="0" w:color="auto"/>
        <w:right w:val="none" w:sz="0" w:space="0" w:color="auto"/>
      </w:divBdr>
    </w:div>
    <w:div w:id="1605645832">
      <w:bodyDiv w:val="1"/>
      <w:marLeft w:val="0"/>
      <w:marRight w:val="0"/>
      <w:marTop w:val="0"/>
      <w:marBottom w:val="0"/>
      <w:divBdr>
        <w:top w:val="none" w:sz="0" w:space="0" w:color="auto"/>
        <w:left w:val="none" w:sz="0" w:space="0" w:color="auto"/>
        <w:bottom w:val="none" w:sz="0" w:space="0" w:color="auto"/>
        <w:right w:val="none" w:sz="0" w:space="0" w:color="auto"/>
      </w:divBdr>
    </w:div>
    <w:div w:id="1732340000">
      <w:bodyDiv w:val="1"/>
      <w:marLeft w:val="0"/>
      <w:marRight w:val="0"/>
      <w:marTop w:val="0"/>
      <w:marBottom w:val="0"/>
      <w:divBdr>
        <w:top w:val="none" w:sz="0" w:space="0" w:color="auto"/>
        <w:left w:val="none" w:sz="0" w:space="0" w:color="auto"/>
        <w:bottom w:val="none" w:sz="0" w:space="0" w:color="auto"/>
        <w:right w:val="none" w:sz="0" w:space="0" w:color="auto"/>
      </w:divBdr>
    </w:div>
    <w:div w:id="2135371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wmf"/><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3.w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wmf"/><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B78ADD-76FF-452C-810A-A2EDDD1EB3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220</Pages>
  <Words>48828</Words>
  <Characters>278320</Characters>
  <Application>Microsoft Office Word</Application>
  <DocSecurity>0</DocSecurity>
  <Lines>2319</Lines>
  <Paragraphs>652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326496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Надежда Макарова</dc:creator>
  <cp:lastModifiedBy>Юлия Олеговна Кузьмина</cp:lastModifiedBy>
  <cp:revision>22</cp:revision>
  <cp:lastPrinted>2024-11-02T06:18:00Z</cp:lastPrinted>
  <dcterms:created xsi:type="dcterms:W3CDTF">2024-04-09T06:51:00Z</dcterms:created>
  <dcterms:modified xsi:type="dcterms:W3CDTF">2024-11-02T06:48:00Z</dcterms:modified>
</cp:coreProperties>
</file>