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caps/>
          <w:sz w:val="24"/>
          <w:szCs w:val="24"/>
        </w:rPr>
      </w:pPr>
      <w:r>
        <w:rPr>
          <w:rFonts w:ascii="Times New Roman" w:hAnsi="Times New Roman"/>
          <w:b/>
          <w:caps/>
          <w:sz w:val="24"/>
          <w:szCs w:val="24"/>
        </w:rPr>
        <w:t>Соглашение</w:t>
      </w:r>
    </w:p>
    <w:p>
      <w:pPr>
        <w:pStyle w:val="Normal"/>
        <w:spacing w:lineRule="auto" w:line="240" w:before="0" w:after="0"/>
        <w:jc w:val="center"/>
        <w:rPr>
          <w:rFonts w:ascii="Times New Roman" w:hAnsi="Times New Roman"/>
          <w:b/>
          <w:sz w:val="24"/>
          <w:szCs w:val="24"/>
        </w:rPr>
      </w:pPr>
      <w:r>
        <w:rPr>
          <w:rFonts w:ascii="Times New Roman" w:hAnsi="Times New Roman"/>
          <w:b/>
          <w:sz w:val="24"/>
          <w:szCs w:val="24"/>
        </w:rPr>
        <w:t>о взаимодействии и доступе к единой централизованной информационной системе бюджетного (бухгалтерского) учета и отчетности</w:t>
      </w:r>
    </w:p>
    <w:p>
      <w:pPr>
        <w:pStyle w:val="Normal"/>
        <w:spacing w:lineRule="auto" w:line="240" w:before="0" w:after="0"/>
        <w:jc w:val="center"/>
        <w:rPr>
          <w:rFonts w:ascii="Times New Roman" w:hAnsi="Times New Roman"/>
          <w:b/>
          <w:caps/>
          <w:sz w:val="24"/>
          <w:szCs w:val="24"/>
        </w:rPr>
      </w:pPr>
      <w:r>
        <w:rPr>
          <w:rFonts w:ascii="Times New Roman" w:hAnsi="Times New Roman"/>
          <w:b/>
          <w:caps/>
          <w:sz w:val="24"/>
          <w:szCs w:val="24"/>
        </w:rPr>
      </w:r>
    </w:p>
    <w:tbl>
      <w:tblPr>
        <w:tblW w:w="98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628"/>
        <w:gridCol w:w="3265"/>
      </w:tblGrid>
      <w:tr>
        <w:trPr/>
        <w:tc>
          <w:tcPr>
            <w:tcW w:w="6628" w:type="dxa"/>
            <w:tcBorders/>
          </w:tcPr>
          <w:p>
            <w:pPr>
              <w:pStyle w:val="Normal"/>
              <w:widowControl w:val="false"/>
              <w:spacing w:lineRule="auto" w:line="240" w:before="0" w:after="0"/>
              <w:rPr>
                <w:rFonts w:ascii="Times New Roman" w:hAnsi="Times New Roman"/>
                <w:b/>
                <w:sz w:val="24"/>
                <w:szCs w:val="24"/>
              </w:rPr>
            </w:pPr>
            <w:r>
              <w:rPr>
                <w:rFonts w:ascii="Times New Roman" w:hAnsi="Times New Roman"/>
                <w:b/>
                <w:sz w:val="24"/>
                <w:szCs w:val="24"/>
              </w:rPr>
              <w:t>г. Чебоксары</w:t>
            </w:r>
          </w:p>
        </w:tc>
        <w:tc>
          <w:tcPr>
            <w:tcW w:w="3265" w:type="dxa"/>
            <w:tcBorders/>
          </w:tcPr>
          <w:p>
            <w:pPr>
              <w:pStyle w:val="Normal"/>
              <w:widowControl w:val="false"/>
              <w:spacing w:lineRule="auto" w:line="240" w:before="0" w:after="0"/>
              <w:jc w:val="right"/>
              <w:rPr>
                <w:rFonts w:ascii="Times New Roman" w:hAnsi="Times New Roman"/>
                <w:b/>
                <w:sz w:val="24"/>
                <w:szCs w:val="24"/>
              </w:rPr>
            </w:pPr>
            <w:r>
              <w:rPr>
                <w:rFonts w:ascii="Times New Roman" w:hAnsi="Times New Roman"/>
                <w:b/>
                <w:sz w:val="24"/>
                <w:szCs w:val="24"/>
              </w:rPr>
              <w:t>«____»____________2024г.</w:t>
            </w:r>
          </w:p>
        </w:tc>
      </w:tr>
    </w:tbl>
    <w:p>
      <w:pPr>
        <w:pStyle w:val="Normal"/>
        <w:tabs>
          <w:tab w:val="clear" w:pos="709"/>
          <w:tab w:val="left" w:pos="7655"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Автономное учреждение Чувашской Республики «Центр информационных технологий» Министерства цифрового развития, информационной политики и массовых коммуникаций Чувашской Республики, именуемое в дальнейшем «Технический оператор инфраструктуры ЕЦИС», в лице _____________________________________________________________, действующего на основании_________________________________________________________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 с одной стороны, и ________________________________________________________________ </w:t>
      </w:r>
      <w:r>
        <w:rPr>
          <w:rFonts w:ascii="Times New Roman" w:hAnsi="Times New Roman"/>
          <w:sz w:val="24"/>
          <w:szCs w:val="24"/>
          <w:lang w:eastAsia="ru-RU"/>
        </w:rPr>
        <w:t>__________________________________________________________________________________, в лице ____________________________________________________________________________</w:t>
      </w:r>
    </w:p>
    <w:p>
      <w:pPr>
        <w:pStyle w:val="Normal"/>
        <w:widowControl/>
        <w:bidi w:val="0"/>
        <w:spacing w:lineRule="auto" w:line="240" w:before="0" w:after="0"/>
        <w:ind w:left="0" w:right="0" w:hanging="0"/>
        <w:jc w:val="both"/>
        <w:rPr>
          <w:rFonts w:ascii="Times New Roman" w:hAnsi="Times New Roman"/>
          <w:sz w:val="24"/>
          <w:szCs w:val="24"/>
        </w:rPr>
      </w:pPr>
      <w:r>
        <w:rPr>
          <w:rFonts w:ascii="Times New Roman" w:hAnsi="Times New Roman"/>
          <w:sz w:val="24"/>
          <w:szCs w:val="24"/>
          <w:lang w:eastAsia="ru-RU"/>
        </w:rPr>
        <w:t>__________________________________________________________________________________</w:t>
      </w:r>
      <w:r>
        <w:rPr>
          <w:rFonts w:ascii="Times New Roman" w:hAnsi="Times New Roman"/>
          <w:sz w:val="24"/>
          <w:szCs w:val="24"/>
        </w:rPr>
        <w:t>, с другой стороны, именуемое в дальнейшем «Оператор ЕЦИС», совместно именуемые «Стороны» в соответствии с Гражданским Кодексом Российской Федерации, Постановлением Кабинета Министров Чувашской Республики от 28.12.2018 № 583 «Об утверждении Положения об инфраструктуре единой централизованной информационной системы бюджетного (бухгалтерского) учета и отчетности», заключили настоящее соглашение (далее – Соглашение) о нижеследующем: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ind w:left="714" w:hanging="357"/>
        <w:jc w:val="center"/>
        <w:rPr>
          <w:rFonts w:ascii="Times New Roman" w:hAnsi="Times New Roman"/>
          <w:b/>
          <w:caps/>
          <w:sz w:val="24"/>
          <w:szCs w:val="24"/>
        </w:rPr>
      </w:pPr>
      <w:r>
        <w:rPr>
          <w:rFonts w:ascii="Times New Roman" w:hAnsi="Times New Roman"/>
          <w:b/>
          <w:caps/>
          <w:sz w:val="24"/>
          <w:szCs w:val="24"/>
        </w:rPr>
        <w:t>Термины и определения</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Единая централизованная информационная система бюджетного (бухгалтерского) учета и отчетности (далее – ЕЦИС) – информационная система, обеспечивающая построение эффективной системы централизованного бюджетного (бухгалтерского) учета и отчетности в государственных органах Чувашской Республики, государственных учреждениях Чувашской Республики, подведомственных органам государственной власти Чувашской Республики, а в муниципальных учреждениях - в соответствии с соглашениями между муниципальными районами и городскими округами и оператором инфраструктуры ЕЦИС о взаимодействии.</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Инфраструктура ЕЦИС – технологически и территориально обособленные серверные комплексы, размещенные в Республиканском центре обработки данных (далее – РЦОД), включающие в себя серверное и коммуникационное оборудование, системы хранения и резервного копирования данных и иные вспомогательные системы.</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Оператор ЕЦИС – казенное учреждение Чувашской Республики «Республиканский центр бухгалтерского учета», государственный орган Чувашской Республики, государственное учреждение Чувашской Республики, подведомственное органу государственной власти Чувашской Республики, функции по бюджетному (бухгалтерскому) учету и отчетности которого не переданы казенному учреждению Чувашской Республики «Республиканский центр бухгалтерского учета» либо централизованной бухгалтерии подведомственной органу исполнительной власти Чувашской Республики, централизованная бухгалтерия подведомственных органу исполнительной власти Чувашской Республики учреждений, находящаяся в его ведении, централизованная бухгалтерия муниципального района (городского округа) в соответствии с соглашением.</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 автономное учреждение Чувашской Республики «Центр информационных технологий» Министерства цифрового развития, информационной политики и массовых коммуникаций Чувашской Республики.</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Пользователь ЕЦИС – уполномоченное оператором ЕЦИС должностное лицо, получившее в установленном порядке доступ к ЕЦИС и выполняющее обработку информации в ЕЦИС.</w:t>
      </w:r>
    </w:p>
    <w:p>
      <w:pPr>
        <w:pStyle w:val="Normal"/>
        <w:numPr>
          <w:ilvl w:val="0"/>
          <w:numId w:val="1"/>
        </w:numPr>
        <w:spacing w:lineRule="auto" w:line="240" w:before="0" w:after="0"/>
        <w:ind w:left="714" w:hanging="357"/>
        <w:jc w:val="center"/>
        <w:rPr>
          <w:rFonts w:ascii="Times New Roman" w:hAnsi="Times New Roman"/>
          <w:b/>
          <w:caps/>
          <w:sz w:val="24"/>
          <w:szCs w:val="24"/>
        </w:rPr>
      </w:pPr>
      <w:r>
        <w:rPr>
          <w:rFonts w:ascii="Times New Roman" w:hAnsi="Times New Roman"/>
          <w:b/>
          <w:caps/>
          <w:sz w:val="24"/>
          <w:szCs w:val="24"/>
        </w:rPr>
        <w:t>Предмет соглашения</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Предметом Соглашения является порядок взаимодействия и организации доступа к информации единой централизованной системе бухгалтерского (бюджетного) учета и отчетности (далее – доступ к ЕЦИС).</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ind w:left="714" w:hanging="357"/>
        <w:jc w:val="center"/>
        <w:rPr>
          <w:rFonts w:ascii="Times New Roman" w:hAnsi="Times New Roman"/>
          <w:b/>
          <w:sz w:val="24"/>
          <w:szCs w:val="24"/>
        </w:rPr>
      </w:pPr>
      <w:r>
        <w:rPr>
          <w:rFonts w:ascii="Times New Roman" w:hAnsi="Times New Roman"/>
          <w:b/>
          <w:caps/>
          <w:sz w:val="24"/>
          <w:szCs w:val="24"/>
        </w:rPr>
        <w:t>ОБЯЗАННОСТИ</w:t>
      </w:r>
      <w:r>
        <w:rPr>
          <w:rFonts w:ascii="Times New Roman" w:hAnsi="Times New Roman"/>
          <w:b/>
          <w:sz w:val="24"/>
          <w:szCs w:val="24"/>
        </w:rPr>
        <w:t xml:space="preserve"> СТОРОН</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осуществляет:</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эффективное и бесперебойное функционирование инфраструктуры ЕЦИС, ее техническую поддержку с соблюдением требований законодательства Российской Федерации об информации, информационных технологиях и о защите информации;</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предоставление и прекращение доступа к ЕЦИС, формирование требований к защите информации, содержащейся в ЕЦИС, в соответствии с Регламентом подключения к единой централизованной информационной системе бюджетного (бухгалтерского) учета и отчетности (далее – Регламент);</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ежедневное разностное резервное копирование инфраструктуры ЕЦИС, в период с 22-00 до 06-00 часов по Московскому времени, а также полное резервное копирование инфраструктуры ЕЦИС каждую субботу;</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консультирование операторов ЕЦИС, пользователей ЕЦИС по вопросам технической поддержки функционирования инфраструктуры ЕЦИС путем оформления заявки на сайте http://helpdesk.cap.ru, или в случае недоступности которого, посредством телефонного звонка в службу технической поддержки по номеру (8352) 565-300, по электронной почте cit-support@cap.ru.</w:t>
      </w:r>
    </w:p>
    <w:p>
      <w:pPr>
        <w:pStyle w:val="Normal"/>
        <w:numPr>
          <w:ilvl w:val="1"/>
          <w:numId w:val="1"/>
        </w:numPr>
        <w:tabs>
          <w:tab w:val="clear" w:pos="709"/>
          <w:tab w:val="left" w:pos="1134" w:leader="none"/>
        </w:tabs>
        <w:spacing w:lineRule="auto" w:line="240" w:before="0" w:after="0"/>
        <w:ind w:left="0" w:firstLine="710"/>
        <w:jc w:val="both"/>
        <w:rPr>
          <w:rFonts w:ascii="Times New Roman" w:hAnsi="Times New Roman"/>
          <w:sz w:val="24"/>
          <w:szCs w:val="24"/>
        </w:rPr>
      </w:pPr>
      <w:r>
        <w:rPr>
          <w:rFonts w:ascii="Times New Roman" w:hAnsi="Times New Roman"/>
          <w:sz w:val="24"/>
          <w:szCs w:val="24"/>
        </w:rPr>
        <w:t>Технический оператор инфраструктуры ЕЦИС вправе:</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запрашивать и получать от Оператора ЕЦИС информацию необходимую для организации доступа к ЕЦИС по настоящему Соглашению;</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проводить технические и профилактические работы.</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 xml:space="preserve">Оператор ЕЦИС осуществляет: </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ведение в ЕЦИС бюджетного (бухгалтерского) учета, составление бюджетной (бухгалтерской), налоговой, статистической отчетности, отчетности в государственные внебюджетные фонды в соответствии с требованиями законодательства Российской Федерации;</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направление заявок на предоставление (прекращение) доступа к ЕЦИС, ведение учета пользователей ЕЦИС в соответствии с Регламентом;</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настройку резервного копирования областей данных, принадлежащих Оператору ЕЦИС, но не чаще одного раза в сутки;</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обеспечение соблюдения требований по защите информации в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разработку и внедрение системы защиты информации, содержащейся в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применение сертифицированных средств защиты информации;</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оценку соответствия (аттестационные испытания) ЕЦИС требованиям по обеспечению безопасности информации;</w:t>
      </w:r>
    </w:p>
    <w:p>
      <w:pPr>
        <w:pStyle w:val="Normal"/>
        <w:numPr>
          <w:ilvl w:val="2"/>
          <w:numId w:val="1"/>
        </w:numPr>
        <w:tabs>
          <w:tab w:val="clear" w:pos="709"/>
          <w:tab w:val="left" w:pos="1134" w:leader="none"/>
        </w:tabs>
        <w:spacing w:lineRule="auto" w:line="240" w:before="0" w:after="0"/>
        <w:ind w:left="0" w:firstLine="709"/>
        <w:jc w:val="both"/>
        <w:rPr/>
      </w:pPr>
      <w:r>
        <w:rPr>
          <w:rFonts w:ascii="Times New Roman" w:hAnsi="Times New Roman"/>
          <w:sz w:val="24"/>
          <w:szCs w:val="24"/>
        </w:rPr>
        <w:t>обеспечение защиты информации в ходе эксплуатации ЕЦИС.</w:t>
      </w:r>
    </w:p>
    <w:p>
      <w:pPr>
        <w:pStyle w:val="Normal"/>
        <w:tabs>
          <w:tab w:val="clear" w:pos="709"/>
          <w:tab w:val="left" w:pos="1134" w:leader="none"/>
        </w:tabs>
        <w:spacing w:lineRule="auto" w:line="240" w:before="0" w:after="0"/>
        <w:ind w:left="709" w:hanging="0"/>
        <w:jc w:val="both"/>
        <w:rPr/>
      </w:pPr>
      <w:r>
        <w:rPr/>
      </w:r>
    </w:p>
    <w:p>
      <w:pPr>
        <w:pStyle w:val="Normal"/>
        <w:numPr>
          <w:ilvl w:val="0"/>
          <w:numId w:val="1"/>
        </w:numPr>
        <w:spacing w:lineRule="auto" w:line="240" w:before="0" w:after="0"/>
        <w:ind w:left="714" w:hanging="357"/>
        <w:jc w:val="center"/>
        <w:rPr>
          <w:rFonts w:ascii="Times New Roman" w:hAnsi="Times New Roman"/>
          <w:b/>
          <w:sz w:val="24"/>
          <w:szCs w:val="24"/>
        </w:rPr>
      </w:pPr>
      <w:r>
        <w:rPr>
          <w:rFonts w:ascii="Times New Roman" w:hAnsi="Times New Roman"/>
          <w:b/>
          <w:caps/>
          <w:sz w:val="24"/>
          <w:szCs w:val="24"/>
        </w:rPr>
        <w:t>ОТВЕТСТВЕННОСТЬ</w:t>
      </w:r>
      <w:r>
        <w:rPr>
          <w:rFonts w:ascii="Times New Roman" w:hAnsi="Times New Roman"/>
          <w:b/>
          <w:sz w:val="24"/>
          <w:szCs w:val="24"/>
        </w:rPr>
        <w:t xml:space="preserve"> СТОРОН</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Ответственность Оператора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Оператор ЕЦИС принимает на себя полную ответственность за полноту, достоверность и соответствие действующему законодательству информации, содержащейся в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Оператор ЕЦИС несет ответственность за нарушение исключительных прав третьих лиц, прав авторства, и иных смежных с ними прав после размещения информации, содержащейся в ЕЦИС, на вычислительных мощностях РЦОД.</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Оператор ЕЦИС несет ответственность за уничтожение или модификацию информации, содержащейся в ЕЦИС, если данные действия были выполнены с использованием собственных реквизитов доступа.</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Ответственность Технического оператора инфраструктуры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несет ответственность перед Оператором ЕЦИС за обеспечение безопасности инфраструктуры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не несет ответственности за прямой или косвенный ущерб, причиненный Оператору ЕЦИС в результате использования или невозможности пользования доступом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если они не вызваны действиями Технического оператора инфраструктуры ЕЦИС.</w:t>
      </w:r>
    </w:p>
    <w:p>
      <w:pPr>
        <w:pStyle w:val="Normal"/>
        <w:numPr>
          <w:ilvl w:val="2"/>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не несет ответственность за аварии и сбои функционирования ЕЦИС, связанные с нарушениями в работе оборудования, систем подачи электроэнергии и/или линий связи или сетей, которые обеспечиваются, подаются, эксплуатируются и/или обслуживаются третьими лицами.</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trike/>
          <w:sz w:val="24"/>
          <w:szCs w:val="24"/>
        </w:rPr>
      </w:pPr>
      <w:r>
        <w:rPr>
          <w:rFonts w:ascii="Times New Roman" w:hAnsi="Times New Roman"/>
          <w:sz w:val="24"/>
          <w:szCs w:val="24"/>
        </w:rPr>
        <w:t>Технический оператор инфраструктуры ЕЦИС не несет ответственности за любой убыток или ущерб, понесённый Оператором ЕЦИС или пользователями ЕЦИС вследствие нарушения ими конфиденциальности информации, в том числе нарушения ими конфиденциальности персональных данных, ключевой, аутентифицирующей и парольной информации.</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не несет ответственности за качество каналов связи общего пользования, посредством которых осуществляется доступ к ЕЦИС.</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Иная ответственность сторон, не предусмотренная настоящим Соглашением, применяется в размере и порядке, установленном действующим законодательством Российской Федерации.</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ind w:left="714" w:hanging="357"/>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Pr>
          <w:rFonts w:ascii="Times New Roman" w:hAnsi="Times New Roman"/>
          <w:b/>
          <w:bCs/>
          <w:sz w:val="24"/>
          <w:szCs w:val="24"/>
          <w:lang w:eastAsia="ru-RU"/>
        </w:rPr>
        <w:t>УСЛОВИЯ КОНФИДЕНЦИАЛЬНОСТИ</w:t>
      </w:r>
    </w:p>
    <w:p>
      <w:pPr>
        <w:pStyle w:val="Normal"/>
        <w:numPr>
          <w:ilvl w:val="1"/>
          <w:numId w:val="1"/>
        </w:numPr>
        <w:tabs>
          <w:tab w:val="clear" w:pos="709"/>
          <w:tab w:val="left" w:pos="1134" w:leader="none"/>
        </w:tabs>
        <w:spacing w:lineRule="auto" w:line="240" w:before="0" w:after="0"/>
        <w:ind w:left="0" w:firstLine="71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Стороны устанавливают, что информация, не относящаяся к общедоступной информации, полученная или переданная ими в результате выполнения работ по Соглашению, в том числе персональные данные, ключевая, аутентифицирующая и парольная информация, является конфиденциальной</w:t>
      </w:r>
      <w:r>
        <w:rPr>
          <w:rFonts w:ascii="Times New Roman" w:hAnsi="Times New Roman"/>
          <w:b/>
          <w:sz w:val="24"/>
          <w:szCs w:val="24"/>
          <w:lang w:eastAsia="ru-RU"/>
        </w:rPr>
        <w:t xml:space="preserve"> </w:t>
      </w:r>
      <w:r>
        <w:rPr>
          <w:rFonts w:ascii="Times New Roman" w:hAnsi="Times New Roman"/>
          <w:sz w:val="24"/>
          <w:szCs w:val="24"/>
          <w:lang w:eastAsia="ru-RU"/>
        </w:rPr>
        <w:t>информацией.</w:t>
      </w:r>
    </w:p>
    <w:p>
      <w:pPr>
        <w:pStyle w:val="Normal"/>
        <w:numPr>
          <w:ilvl w:val="1"/>
          <w:numId w:val="1"/>
        </w:numPr>
        <w:tabs>
          <w:tab w:val="clear" w:pos="709"/>
          <w:tab w:val="left" w:pos="1134" w:leader="none"/>
        </w:tabs>
        <w:spacing w:lineRule="auto" w:line="240" w:before="0" w:after="0"/>
        <w:ind w:left="0" w:firstLine="720"/>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Стороны обязаны соблюдать режим конфиденциальности в отношении любой конфиденциальной информации, независимо от того, представлена ли она в устной, письменной, электронной форме, на любом материальном носителе.</w:t>
      </w:r>
    </w:p>
    <w:p>
      <w:pPr>
        <w:pStyle w:val="Normal"/>
        <w:numPr>
          <w:ilvl w:val="1"/>
          <w:numId w:val="1"/>
        </w:numPr>
        <w:tabs>
          <w:tab w:val="clear" w:pos="709"/>
          <w:tab w:val="left" w:pos="1134" w:leader="none"/>
        </w:tabs>
        <w:spacing w:lineRule="auto" w:line="240" w:before="0" w:after="0"/>
        <w:ind w:left="0" w:firstLine="720"/>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Стороны не вправе использовать полученную конфиденциальную информацию в собственных интересах иначе, чем в связи с реализацией Соглашения, без предварительного письменного согласия раскрывающей стороны.</w:t>
      </w:r>
    </w:p>
    <w:p>
      <w:pPr>
        <w:pStyle w:val="Normal"/>
        <w:numPr>
          <w:ilvl w:val="1"/>
          <w:numId w:val="1"/>
        </w:numPr>
        <w:tabs>
          <w:tab w:val="clear" w:pos="709"/>
          <w:tab w:val="left" w:pos="1134" w:leader="none"/>
        </w:tabs>
        <w:spacing w:lineRule="auto" w:line="240" w:before="0" w:after="0"/>
        <w:ind w:left="0" w:firstLine="720"/>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r>
        <w:rPr>
          <w:rFonts w:ascii="Times New Roman" w:hAnsi="Times New Roman"/>
          <w:color w:val="000000"/>
          <w:spacing w:val="3"/>
          <w:sz w:val="24"/>
          <w:szCs w:val="24"/>
          <w:lang w:eastAsia="ru-RU"/>
        </w:rPr>
        <w:t>В случае расторжения настоящего Соглашения по договоренности обеих Сторон, либо по решению суда обязательства Сторон по сохранению конфиденциальной информации и обеспечению режима конфиденциальности продолжают действовать в течение трех лет с даты расторжения настоящего Соглашения.</w:t>
      </w:r>
    </w:p>
    <w:p>
      <w:pPr>
        <w:pStyle w:val="Normal"/>
        <w:tabs>
          <w:tab w:val="clear" w:pos="709"/>
          <w:tab w:val="left" w:pos="1134" w:leader="none"/>
        </w:tabs>
        <w:spacing w:lineRule="auto" w:line="240" w:before="0" w:after="0"/>
        <w:ind w:left="720" w:hanging="0"/>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r>
    </w:p>
    <w:p>
      <w:pPr>
        <w:pStyle w:val="Normal"/>
        <w:numPr>
          <w:ilvl w:val="0"/>
          <w:numId w:val="1"/>
        </w:numPr>
        <w:spacing w:lineRule="auto" w:line="240" w:before="0" w:after="0"/>
        <w:ind w:left="714" w:hanging="357"/>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ПОРЯДОК </w:t>
      </w:r>
      <w:r>
        <w:rPr>
          <w:rFonts w:ascii="Times New Roman" w:hAnsi="Times New Roman"/>
          <w:b/>
          <w:caps/>
          <w:sz w:val="24"/>
          <w:szCs w:val="24"/>
        </w:rPr>
        <w:t>РАССМОТРЕНИЯ</w:t>
      </w:r>
      <w:r>
        <w:rPr>
          <w:rFonts w:ascii="Times New Roman" w:hAnsi="Times New Roman"/>
          <w:b/>
          <w:sz w:val="24"/>
          <w:szCs w:val="24"/>
        </w:rPr>
        <w:t xml:space="preserve"> ПРЕТЕНЗИЙ И СПОРОВ</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 xml:space="preserve">Претензии Сторон принимаются к рассмотрению и рассматриваются в порядке, предусмотренном действующим законодательством Российской Федерации. </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Срок рассмотрения претензии 30 (тридцать) дней с момента получения Стороной, в адрес которой направлена претензия.</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ind w:left="714" w:hanging="357"/>
        <w:jc w:val="center"/>
        <w:rPr>
          <w:rFonts w:ascii="Times New Roman" w:hAnsi="Times New Roman"/>
          <w:b/>
          <w:sz w:val="24"/>
          <w:szCs w:val="24"/>
        </w:rPr>
      </w:pPr>
      <w:r>
        <w:rPr>
          <w:rFonts w:ascii="Times New Roman" w:hAnsi="Times New Roman"/>
          <w:b/>
          <w:caps/>
          <w:sz w:val="24"/>
          <w:szCs w:val="24"/>
        </w:rPr>
        <w:t xml:space="preserve"> </w:t>
      </w:r>
      <w:r>
        <w:rPr>
          <w:rFonts w:ascii="Times New Roman" w:hAnsi="Times New Roman"/>
          <w:b/>
          <w:caps/>
          <w:sz w:val="24"/>
          <w:szCs w:val="24"/>
        </w:rPr>
        <w:t>ИНЫЕ</w:t>
      </w:r>
      <w:r>
        <w:rPr>
          <w:rFonts w:ascii="Times New Roman" w:hAnsi="Times New Roman"/>
          <w:b/>
          <w:sz w:val="24"/>
          <w:szCs w:val="24"/>
        </w:rPr>
        <w:t xml:space="preserve"> УСЛОВИЯ</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Технический оператор инфраструктуры ЕЦИС, имеет право раскрывать информацию, содержащуюся в ЕЦИС, только в соответствии с законодательством Российской Федерации.</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ind w:left="714" w:hanging="357"/>
        <w:jc w:val="center"/>
        <w:rPr>
          <w:rFonts w:ascii="Times New Roman" w:hAnsi="Times New Roman"/>
          <w:b/>
          <w:sz w:val="24"/>
          <w:szCs w:val="24"/>
        </w:rPr>
      </w:pPr>
      <w:r>
        <w:rPr>
          <w:rFonts w:ascii="Times New Roman" w:hAnsi="Times New Roman"/>
          <w:b/>
          <w:sz w:val="24"/>
          <w:szCs w:val="24"/>
        </w:rPr>
        <w:t xml:space="preserve">СРОК ДЕЙСТВИЯ, ПОРЯДОК ИЗМЕНЕНИЯ </w:t>
      </w:r>
    </w:p>
    <w:p>
      <w:pPr>
        <w:pStyle w:val="Normal"/>
        <w:spacing w:lineRule="auto" w:line="240" w:before="0" w:after="0"/>
        <w:ind w:left="714" w:hanging="0"/>
        <w:jc w:val="center"/>
        <w:rPr>
          <w:rFonts w:ascii="Times New Roman" w:hAnsi="Times New Roman"/>
          <w:b/>
          <w:sz w:val="24"/>
          <w:szCs w:val="24"/>
        </w:rPr>
      </w:pPr>
      <w:r>
        <w:rPr>
          <w:rFonts w:ascii="Times New Roman" w:hAnsi="Times New Roman"/>
          <w:b/>
          <w:sz w:val="24"/>
          <w:szCs w:val="24"/>
        </w:rPr>
        <w:t>И РАСТОРЖЕНИЯ СОГЛАШЕНИЯ</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Соглашение вступает в силу с момента его подписания Сторонами, по дате последней подписи и действует до окончания календарного года.</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Соглашение автоматически продолжает свое действие на следующий год, если ни одна из Сторон не заявила в письменном виде о его прекращении не менее чем за 30 (тридцать) календарных дней до окончания срока действия Соглашения. При этом Технический оператор инфраструктуры ЕЦИС имеет право отправить подобное уведомление в электронном виде на электронную почту Оператора ЕЦИС.</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Настоящее Соглашение может быть расторгнуто по инициативе любой из Сторон.</w:t>
      </w:r>
    </w:p>
    <w:p>
      <w:pPr>
        <w:pStyle w:val="Normal"/>
        <w:numPr>
          <w:ilvl w:val="1"/>
          <w:numId w:val="1"/>
        </w:numPr>
        <w:tabs>
          <w:tab w:val="clear" w:pos="709"/>
          <w:tab w:val="left" w:pos="1134" w:leader="none"/>
        </w:tabs>
        <w:spacing w:lineRule="auto" w:line="240" w:before="0" w:after="0"/>
        <w:ind w:left="0" w:firstLine="709"/>
        <w:jc w:val="both"/>
        <w:rPr>
          <w:rFonts w:ascii="Times New Roman" w:hAnsi="Times New Roman"/>
          <w:sz w:val="24"/>
          <w:szCs w:val="24"/>
        </w:rPr>
      </w:pPr>
      <w:r>
        <w:rPr>
          <w:rFonts w:ascii="Times New Roman" w:hAnsi="Times New Roman"/>
          <w:sz w:val="24"/>
          <w:szCs w:val="24"/>
        </w:rPr>
        <w:t>По вопросам технического взаимодействия Сторон, в ходе предоставления доступа по настоящему Соглашению, Стороны вправе заключать дополнительные соглашения. При этом дополнительные соглашения могут дополнять условия действующего Положения, не изменяя их.</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r>
    </w:p>
    <w:p>
      <w:pPr>
        <w:pStyle w:val="Normal"/>
        <w:numPr>
          <w:ilvl w:val="0"/>
          <w:numId w:val="1"/>
        </w:numPr>
        <w:spacing w:lineRule="auto" w:line="240" w:before="0" w:after="0"/>
        <w:ind w:left="714" w:hanging="357"/>
        <w:jc w:val="center"/>
        <w:rPr>
          <w:rFonts w:ascii="Times New Roman" w:hAnsi="Times New Roman"/>
          <w:b/>
          <w:sz w:val="24"/>
          <w:szCs w:val="24"/>
        </w:rPr>
      </w:pPr>
      <w:r>
        <w:rPr>
          <w:rFonts w:ascii="Times New Roman" w:hAnsi="Times New Roman"/>
          <w:b/>
          <w:sz w:val="24"/>
          <w:szCs w:val="24"/>
        </w:rPr>
        <w:t>АДРЕС МЕСТОНАХОЖДЕНИЯ И ПОДПИСИ СТОРОН</w:t>
      </w:r>
    </w:p>
    <w:p>
      <w:pPr>
        <w:pStyle w:val="Normal"/>
        <w:spacing w:lineRule="auto" w:line="240" w:before="0" w:after="0"/>
        <w:ind w:left="714" w:hanging="0"/>
        <w:rPr>
          <w:rFonts w:ascii="Times New Roman" w:hAnsi="Times New Roman"/>
          <w:b/>
          <w:sz w:val="24"/>
          <w:szCs w:val="24"/>
        </w:rPr>
      </w:pPr>
      <w:r>
        <w:rPr>
          <w:rFonts w:ascii="Times New Roman" w:hAnsi="Times New Roman"/>
          <w:b/>
          <w:sz w:val="24"/>
          <w:szCs w:val="24"/>
        </w:rPr>
      </w:r>
    </w:p>
    <w:tbl>
      <w:tblPr>
        <w:tblW w:w="935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4962"/>
        <w:gridCol w:w="4393"/>
      </w:tblGrid>
      <w:tr>
        <w:trPr>
          <w:trHeight w:val="335" w:hRule="atLeast"/>
        </w:trPr>
        <w:tc>
          <w:tcPr>
            <w:tcW w:w="4962" w:type="dxa"/>
            <w:tcBorders/>
          </w:tcPr>
          <w:p>
            <w:pPr>
              <w:pStyle w:val="Style20"/>
              <w:widowControl w:val="false"/>
              <w:jc w:val="center"/>
              <w:rPr/>
            </w:pPr>
            <w:r>
              <w:rPr>
                <w:rFonts w:ascii="Times New Roman" w:hAnsi="Times New Roman"/>
                <w:sz w:val="24"/>
                <w:szCs w:val="24"/>
                <w:lang w:eastAsia="en-US"/>
              </w:rPr>
              <w:t>Технический оператор инфраструктуры ЕЦИС</w:t>
            </w:r>
          </w:p>
        </w:tc>
        <w:tc>
          <w:tcPr>
            <w:tcW w:w="4393" w:type="dxa"/>
            <w:tcBorders/>
          </w:tcPr>
          <w:p>
            <w:pPr>
              <w:pStyle w:val="Style20"/>
              <w:widowControl w:val="false"/>
              <w:jc w:val="center"/>
              <w:rPr/>
            </w:pPr>
            <w:r>
              <w:rPr>
                <w:rFonts w:ascii="Times New Roman" w:hAnsi="Times New Roman"/>
                <w:color w:val="000000"/>
                <w:sz w:val="24"/>
                <w:szCs w:val="24"/>
                <w:lang w:eastAsia="en-US"/>
              </w:rPr>
              <w:t>Оператор ЕЦИС</w:t>
            </w:r>
          </w:p>
        </w:tc>
      </w:tr>
      <w:tr>
        <w:trPr>
          <w:trHeight w:val="477" w:hRule="atLeast"/>
        </w:trPr>
        <w:tc>
          <w:tcPr>
            <w:tcW w:w="4962" w:type="dxa"/>
            <w:tcBorders/>
            <w:vAlign w:val="center"/>
          </w:tcPr>
          <w:p>
            <w:pPr>
              <w:pStyle w:val="Normal"/>
              <w:widowControl w:val="false"/>
              <w:spacing w:lineRule="auto" w:line="240" w:before="0" w:after="0"/>
              <w:jc w:val="both"/>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Автономное учреждение Чувашской Республики «Центр информационных технологий» Министерства цифрового развития, информационной политики и массовых коммуникаций Чувашской Республики</w:t>
            </w:r>
          </w:p>
          <w:p>
            <w:pPr>
              <w:pStyle w:val="Normal"/>
              <w:widowControl w:val="false"/>
              <w:spacing w:lineRule="auto" w:line="240" w:before="0" w:after="0"/>
              <w:jc w:val="both"/>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(АУ ЧР «ЦИТ» Минцифры Чувашии)</w:t>
            </w:r>
          </w:p>
        </w:tc>
        <w:tc>
          <w:tcPr>
            <w:tcW w:w="4393" w:type="dxa"/>
            <w:tcBorders/>
            <w:vAlign w:val="center"/>
          </w:tcPr>
          <w:p>
            <w:pPr>
              <w:pStyle w:val="Normal"/>
              <w:widowControl w:val="false"/>
              <w:spacing w:lineRule="auto" w:line="240" w:before="0" w:after="0"/>
              <w:jc w:val="both"/>
              <w:rPr>
                <w:rFonts w:ascii="Times New Roman" w:hAnsi="Times New Roman"/>
                <w:sz w:val="24"/>
                <w:szCs w:val="24"/>
                <w:lang w:eastAsia="ru-RU"/>
              </w:rPr>
            </w:pPr>
            <w:r>
              <w:rPr/>
            </w:r>
          </w:p>
        </w:tc>
      </w:tr>
      <w:tr>
        <w:trPr>
          <w:trHeight w:val="156" w:hRule="atLeast"/>
        </w:trPr>
        <w:tc>
          <w:tcPr>
            <w:tcW w:w="4962" w:type="dxa"/>
            <w:tcBorders/>
            <w:vAlign w:val="center"/>
          </w:tcPr>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ИНН 2130176633 КПП 213001001</w:t>
            </w:r>
          </w:p>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ОГРН 1162130063501</w:t>
            </w:r>
          </w:p>
        </w:tc>
        <w:tc>
          <w:tcPr>
            <w:tcW w:w="4393" w:type="dxa"/>
            <w:tcBorders/>
            <w:vAlign w:val="center"/>
          </w:tcPr>
          <w:p>
            <w:pPr>
              <w:pStyle w:val="Normal"/>
              <w:widowControl w:val="false"/>
              <w:spacing w:lineRule="auto" w:line="240" w:before="0" w:after="0"/>
              <w:rPr>
                <w:rFonts w:ascii="Times New Roman" w:hAnsi="Times New Roman"/>
                <w:sz w:val="24"/>
                <w:szCs w:val="24"/>
                <w:lang w:eastAsia="ru-RU"/>
              </w:rPr>
            </w:pPr>
            <w:r>
              <w:rPr/>
            </w:r>
          </w:p>
        </w:tc>
      </w:tr>
      <w:tr>
        <w:trPr>
          <w:trHeight w:val="288" w:hRule="atLeast"/>
        </w:trPr>
        <w:tc>
          <w:tcPr>
            <w:tcW w:w="4962" w:type="dxa"/>
            <w:tcBorders/>
            <w:vAlign w:val="center"/>
          </w:tcPr>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Юр. адрес: 428023, Чувашская Республика,</w:t>
            </w:r>
          </w:p>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г. Чебоксары, ул. Калинина, д. 112</w:t>
            </w:r>
          </w:p>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r>
          </w:p>
        </w:tc>
        <w:tc>
          <w:tcPr>
            <w:tcW w:w="4393" w:type="dxa"/>
            <w:tcBorders/>
          </w:tcPr>
          <w:p>
            <w:pPr>
              <w:pStyle w:val="Normal"/>
              <w:widowControl w:val="false"/>
              <w:spacing w:lineRule="auto" w:line="240" w:before="0" w:after="0"/>
              <w:rPr>
                <w:rFonts w:ascii="Times New Roman" w:hAnsi="Times New Roman"/>
                <w:sz w:val="24"/>
                <w:szCs w:val="24"/>
              </w:rPr>
            </w:pPr>
            <w:r>
              <w:rPr/>
            </w:r>
          </w:p>
        </w:tc>
      </w:tr>
      <w:tr>
        <w:trPr>
          <w:trHeight w:val="278" w:hRule="atLeast"/>
        </w:trPr>
        <w:tc>
          <w:tcPr>
            <w:tcW w:w="4962" w:type="dxa"/>
            <w:tcBorders/>
            <w:vAlign w:val="center"/>
          </w:tcPr>
          <w:p>
            <w:pPr>
              <w:pStyle w:val="Style20"/>
              <w:widowControl w:val="false"/>
              <w:rPr>
                <w:rFonts w:ascii="Times New Roman" w:hAnsi="Times New Roman" w:eastAsia="Times New Roman" w:cs="Times New Roman"/>
                <w:b w:val="false"/>
                <w:bCs w:val="false"/>
                <w:color w:val="auto"/>
                <w:kern w:val="0"/>
                <w:sz w:val="24"/>
                <w:szCs w:val="24"/>
                <w:lang w:val="ru-RU" w:eastAsia="en-US" w:bidi="ar-SA"/>
              </w:rPr>
            </w:pPr>
            <w:r>
              <w:rPr>
                <w:rFonts w:eastAsia="Times New Roman" w:cs="Times New Roman" w:ascii="Times New Roman" w:hAnsi="Times New Roman"/>
                <w:b w:val="false"/>
                <w:bCs w:val="false"/>
                <w:color w:val="auto"/>
                <w:kern w:val="0"/>
                <w:sz w:val="24"/>
                <w:szCs w:val="24"/>
                <w:lang w:val="ru-RU" w:eastAsia="en-US" w:bidi="ar-SA"/>
              </w:rPr>
              <w:t>Тел. (8352) 56-54-90</w:t>
            </w:r>
          </w:p>
        </w:tc>
        <w:tc>
          <w:tcPr>
            <w:tcW w:w="4393" w:type="dxa"/>
            <w:tcBorders/>
          </w:tcPr>
          <w:p>
            <w:pPr>
              <w:pStyle w:val="Style20"/>
              <w:widowControl w:val="false"/>
              <w:rPr>
                <w:rFonts w:ascii="Times New Roman" w:hAnsi="Times New Roman"/>
                <w:b w:val="false"/>
                <w:color w:val="000000"/>
                <w:sz w:val="24"/>
                <w:szCs w:val="24"/>
                <w:lang w:eastAsia="en-US"/>
              </w:rPr>
            </w:pPr>
            <w:r>
              <w:rPr>
                <w:rFonts w:ascii="Times New Roman" w:hAnsi="Times New Roman"/>
                <w:b w:val="false"/>
                <w:color w:val="000000"/>
                <w:sz w:val="24"/>
                <w:szCs w:val="24"/>
                <w:lang w:eastAsia="en-US"/>
              </w:rPr>
              <w:t>Тел.</w:t>
            </w:r>
          </w:p>
        </w:tc>
      </w:tr>
      <w:tr>
        <w:trPr>
          <w:trHeight w:val="268" w:hRule="atLeast"/>
        </w:trPr>
        <w:tc>
          <w:tcPr>
            <w:tcW w:w="4962" w:type="dxa"/>
            <w:tcBorders/>
            <w:vAlign w:val="center"/>
          </w:tcPr>
          <w:p>
            <w:pPr>
              <w:pStyle w:val="Style20"/>
              <w:widowControl w:val="false"/>
              <w:rPr>
                <w:rFonts w:ascii="Times New Roman" w:hAnsi="Times New Roman" w:eastAsia="Times New Roman" w:cs="Times New Roman"/>
                <w:b w:val="false"/>
                <w:bCs w:val="false"/>
                <w:color w:val="auto"/>
                <w:kern w:val="0"/>
                <w:sz w:val="24"/>
                <w:szCs w:val="24"/>
                <w:lang w:val="ru-RU" w:eastAsia="en-US" w:bidi="ar-SA"/>
              </w:rPr>
            </w:pPr>
            <w:r>
              <w:rPr>
                <w:rFonts w:eastAsia="Times New Roman" w:cs="Times New Roman" w:ascii="Times New Roman" w:hAnsi="Times New Roman"/>
                <w:b w:val="false"/>
                <w:bCs w:val="false"/>
                <w:color w:val="auto"/>
                <w:kern w:val="0"/>
                <w:sz w:val="24"/>
                <w:szCs w:val="24"/>
                <w:lang w:val="ru-RU" w:eastAsia="en-US" w:bidi="ar-SA"/>
              </w:rPr>
              <w:t>E-mail: cit@cap.ru</w:t>
            </w:r>
          </w:p>
        </w:tc>
        <w:tc>
          <w:tcPr>
            <w:tcW w:w="4393" w:type="dxa"/>
            <w:tcBorders/>
          </w:tcPr>
          <w:p>
            <w:pPr>
              <w:pStyle w:val="Style20"/>
              <w:widowControl w:val="false"/>
              <w:rPr>
                <w:rFonts w:ascii="Times New Roman" w:hAnsi="Times New Roman"/>
                <w:b w:val="false"/>
                <w:color w:val="000000"/>
                <w:sz w:val="24"/>
                <w:szCs w:val="24"/>
                <w:lang w:val="en-US" w:eastAsia="en-US"/>
              </w:rPr>
            </w:pPr>
            <w:r>
              <w:rPr>
                <w:rFonts w:ascii="Times New Roman" w:hAnsi="Times New Roman"/>
                <w:b w:val="false"/>
                <w:color w:val="000000"/>
                <w:sz w:val="24"/>
                <w:szCs w:val="24"/>
                <w:lang w:val="en-US" w:eastAsia="en-US"/>
              </w:rPr>
              <w:t>E-mail:</w:t>
            </w:r>
          </w:p>
        </w:tc>
      </w:tr>
      <w:tr>
        <w:trPr>
          <w:trHeight w:val="249" w:hRule="atLeast"/>
        </w:trPr>
        <w:tc>
          <w:tcPr>
            <w:tcW w:w="4962" w:type="dxa"/>
            <w:tcBorders/>
            <w:vAlign w:val="center"/>
          </w:tcPr>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r>
          </w:p>
          <w:p>
            <w:pPr>
              <w:pStyle w:val="Normal"/>
              <w:widowControl w:val="false"/>
              <w:spacing w:lineRule="auto" w:line="240" w:before="0" w:after="0"/>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r>
          </w:p>
        </w:tc>
        <w:tc>
          <w:tcPr>
            <w:tcW w:w="4393" w:type="dxa"/>
            <w:tcBorders/>
          </w:tcPr>
          <w:p>
            <w:pPr>
              <w:pStyle w:val="Style20"/>
              <w:widowControl w:val="false"/>
              <w:rPr>
                <w:rFonts w:ascii="Times New Roman" w:hAnsi="Times New Roman"/>
                <w:b w:val="false"/>
                <w:color w:val="000000"/>
                <w:sz w:val="24"/>
                <w:szCs w:val="24"/>
                <w:lang w:val="en-US" w:eastAsia="en-US"/>
              </w:rPr>
            </w:pPr>
            <w:r>
              <w:rPr/>
            </w:r>
          </w:p>
        </w:tc>
      </w:tr>
      <w:tr>
        <w:trPr>
          <w:trHeight w:val="269" w:hRule="atLeast"/>
        </w:trPr>
        <w:tc>
          <w:tcPr>
            <w:tcW w:w="4962" w:type="dxa"/>
            <w:tcBorders/>
            <w:vAlign w:val="center"/>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____________</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___________________/</w:t>
            </w:r>
            <w:r>
              <w:rPr>
                <w:rFonts w:ascii="Times New Roman" w:hAnsi="Times New Roman"/>
                <w:color w:val="000000"/>
                <w:sz w:val="24"/>
                <w:szCs w:val="24"/>
              </w:rPr>
              <w:t>________________</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«___»_____________20  </w:t>
            </w:r>
            <w:bookmarkStart w:id="0" w:name="_GoBack"/>
            <w:bookmarkEnd w:id="0"/>
            <w:r>
              <w:rPr>
                <w:rFonts w:ascii="Times New Roman" w:hAnsi="Times New Roman"/>
                <w:color w:val="000000"/>
                <w:sz w:val="24"/>
                <w:szCs w:val="24"/>
              </w:rPr>
              <w:t>_г.</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М.П.</w:t>
            </w:r>
          </w:p>
        </w:tc>
        <w:tc>
          <w:tcPr>
            <w:tcW w:w="4393" w:type="dxa"/>
            <w:tcBorders/>
            <w:vAlign w:val="center"/>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____________</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___________________/</w:t>
            </w:r>
            <w:r>
              <w:rPr>
                <w:rFonts w:ascii="Times New Roman" w:hAnsi="Times New Roman"/>
                <w:color w:val="000000"/>
                <w:sz w:val="24"/>
                <w:szCs w:val="24"/>
              </w:rPr>
              <w:t>______________</w:t>
            </w:r>
          </w:p>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 xml:space="preserve">«___»_____________20  </w:t>
            </w:r>
            <w:bookmarkStart w:id="1" w:name="_GoBack_Копия_1"/>
            <w:bookmarkEnd w:id="1"/>
            <w:r>
              <w:rPr>
                <w:rFonts w:ascii="Times New Roman" w:hAnsi="Times New Roman"/>
                <w:color w:val="000000"/>
                <w:sz w:val="24"/>
                <w:szCs w:val="24"/>
              </w:rPr>
              <w:t>_г.</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М.П.</w:t>
            </w:r>
          </w:p>
        </w:tc>
      </w:tr>
    </w:tbl>
    <w:p>
      <w:pPr>
        <w:pStyle w:val="Normal"/>
        <w:widowControl/>
        <w:bidi w:val="0"/>
        <w:spacing w:lineRule="auto" w:line="276" w:before="0" w:after="200"/>
        <w:jc w:val="left"/>
        <w:rPr/>
      </w:pPr>
      <w:r>
        <w:rPr/>
      </w:r>
    </w:p>
    <w:sectPr>
      <w:footerReference w:type="default" r:id="rId2"/>
      <w:type w:val="nextPage"/>
      <w:pgSz w:w="11906" w:h="16838"/>
      <w:pgMar w:left="1418" w:right="567" w:gutter="0" w:header="0" w:top="993" w:footer="709" w:bottom="76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spacing w:before="0" w:after="200"/>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1571" w:hanging="720"/>
      </w:pPr>
      <w:rPr>
        <w:dstrike w:val="false"/>
        <w:strike w:val="false"/>
        <w:b w:val="false"/>
        <w:color w:val="000000"/>
      </w:rPr>
    </w:lvl>
    <w:lvl w:ilvl="2">
      <w:start w:val="1"/>
      <w:numFmt w:val="decimal"/>
      <w:lvlText w:val="%1.%2.%3."/>
      <w:lvlJc w:val="left"/>
      <w:pPr>
        <w:tabs>
          <w:tab w:val="num" w:pos="0"/>
        </w:tabs>
        <w:ind w:left="4265"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en-US" w:bidi="ar-SA"/>
    </w:rPr>
  </w:style>
  <w:style w:type="paragraph" w:styleId="1">
    <w:name w:val="Heading 1"/>
    <w:basedOn w:val="Normal"/>
    <w:next w:val="Normal"/>
    <w:link w:val="11"/>
    <w:qFormat/>
    <w:pPr>
      <w:keepNext w:val="true"/>
      <w:spacing w:before="240" w:after="60"/>
      <w:outlineLvl w:val="0"/>
    </w:pPr>
    <w:rPr>
      <w:rFonts w:ascii="Cambria" w:hAnsi="Cambria"/>
      <w:b/>
      <w:bCs/>
      <w:sz w:val="32"/>
      <w:szCs w:val="32"/>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uiPriority w:val="9"/>
    <w:qFormat/>
    <w:rPr>
      <w:rFonts w:ascii="Arial" w:hAnsi="Arial" w:eastAsia="Arial" w:cs="Arial"/>
      <w:sz w:val="40"/>
      <w:szCs w:val="40"/>
    </w:rPr>
  </w:style>
  <w:style w:type="character" w:styleId="21" w:customStyle="1">
    <w:name w:val="Заголовок 2 Знак"/>
    <w:uiPriority w:val="9"/>
    <w:qFormat/>
    <w:rPr>
      <w:rFonts w:ascii="Arial" w:hAnsi="Arial" w:eastAsia="Arial" w:cs="Arial"/>
      <w:sz w:val="34"/>
    </w:rPr>
  </w:style>
  <w:style w:type="character" w:styleId="31" w:customStyle="1">
    <w:name w:val="Заголовок 3 Знак"/>
    <w:uiPriority w:val="9"/>
    <w:qFormat/>
    <w:rPr>
      <w:rFonts w:ascii="Arial" w:hAnsi="Arial" w:eastAsia="Arial" w:cs="Arial"/>
      <w:sz w:val="30"/>
      <w:szCs w:val="30"/>
    </w:rPr>
  </w:style>
  <w:style w:type="character" w:styleId="41" w:customStyle="1">
    <w:name w:val="Заголовок 4 Знак"/>
    <w:uiPriority w:val="9"/>
    <w:qFormat/>
    <w:rPr>
      <w:rFonts w:ascii="Arial" w:hAnsi="Arial" w:eastAsia="Arial" w:cs="Arial"/>
      <w:b/>
      <w:bCs/>
      <w:sz w:val="26"/>
      <w:szCs w:val="26"/>
    </w:rPr>
  </w:style>
  <w:style w:type="character" w:styleId="51" w:customStyle="1">
    <w:name w:val="Заголовок 5 Знак"/>
    <w:uiPriority w:val="9"/>
    <w:qFormat/>
    <w:rPr>
      <w:rFonts w:ascii="Arial" w:hAnsi="Arial" w:eastAsia="Arial" w:cs="Arial"/>
      <w:b/>
      <w:bCs/>
      <w:sz w:val="24"/>
      <w:szCs w:val="24"/>
    </w:rPr>
  </w:style>
  <w:style w:type="character" w:styleId="61" w:customStyle="1">
    <w:name w:val="Заголовок 6 Знак"/>
    <w:uiPriority w:val="9"/>
    <w:qFormat/>
    <w:rPr>
      <w:rFonts w:ascii="Arial" w:hAnsi="Arial" w:eastAsia="Arial" w:cs="Arial"/>
      <w:b/>
      <w:bCs/>
      <w:sz w:val="22"/>
      <w:szCs w:val="22"/>
    </w:rPr>
  </w:style>
  <w:style w:type="character" w:styleId="71" w:customStyle="1">
    <w:name w:val="Заголовок 7 Знак"/>
    <w:uiPriority w:val="9"/>
    <w:qFormat/>
    <w:rPr>
      <w:rFonts w:ascii="Arial" w:hAnsi="Arial" w:eastAsia="Arial" w:cs="Arial"/>
      <w:b/>
      <w:bCs/>
      <w:i/>
      <w:iCs/>
      <w:sz w:val="22"/>
      <w:szCs w:val="22"/>
    </w:rPr>
  </w:style>
  <w:style w:type="character" w:styleId="81" w:customStyle="1">
    <w:name w:val="Заголовок 8 Знак"/>
    <w:uiPriority w:val="9"/>
    <w:qFormat/>
    <w:rPr>
      <w:rFonts w:ascii="Arial" w:hAnsi="Arial" w:eastAsia="Arial" w:cs="Arial"/>
      <w:i/>
      <w:iCs/>
      <w:sz w:val="22"/>
      <w:szCs w:val="22"/>
    </w:rPr>
  </w:style>
  <w:style w:type="character" w:styleId="91" w:customStyle="1">
    <w:name w:val="Заголовок 9 Знак"/>
    <w:uiPriority w:val="9"/>
    <w:qFormat/>
    <w:rPr>
      <w:rFonts w:ascii="Arial" w:hAnsi="Arial" w:eastAsia="Arial" w:cs="Arial"/>
      <w:i/>
      <w:iCs/>
      <w:sz w:val="21"/>
      <w:szCs w:val="21"/>
    </w:rPr>
  </w:style>
  <w:style w:type="character" w:styleId="Style5" w:customStyle="1">
    <w:name w:val="Название Знак"/>
    <w:uiPriority w:val="10"/>
    <w:qFormat/>
    <w:rPr>
      <w:sz w:val="48"/>
      <w:szCs w:val="48"/>
    </w:rPr>
  </w:style>
  <w:style w:type="character" w:styleId="Style6" w:customStyle="1">
    <w:name w:val="Подзаголовок Знак"/>
    <w:uiPriority w:val="11"/>
    <w:qFormat/>
    <w:rPr>
      <w:sz w:val="24"/>
      <w:szCs w:val="24"/>
    </w:rPr>
  </w:style>
  <w:style w:type="character" w:styleId="22"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
    <w:name w:val="Hyperlink"/>
    <w:rPr>
      <w:color w:val="0000FF"/>
      <w:u w:val="single"/>
    </w:rPr>
  </w:style>
  <w:style w:type="character" w:styleId="Style8" w:customStyle="1">
    <w:name w:val="Текст сноски Знак"/>
    <w:uiPriority w:val="99"/>
    <w:qFormat/>
    <w:rPr>
      <w:sz w:val="18"/>
    </w:rPr>
  </w:style>
  <w:style w:type="character" w:styleId="Style9">
    <w:name w:val="Символ сноски"/>
    <w:uiPriority w:val="99"/>
    <w:unhideWhenUsed/>
    <w:qFormat/>
    <w:rPr>
      <w:vertAlign w:val="superscript"/>
    </w:rPr>
  </w:style>
  <w:style w:type="character" w:styleId="Style10">
    <w:name w:val="Footnote Reference"/>
    <w:rPr>
      <w:vertAlign w:val="superscript"/>
    </w:rPr>
  </w:style>
  <w:style w:type="character" w:styleId="Style11" w:customStyle="1">
    <w:name w:val="Текст концевой сноски Знак"/>
    <w:uiPriority w:val="99"/>
    <w:qFormat/>
    <w:rPr>
      <w:sz w:val="20"/>
    </w:rPr>
  </w:style>
  <w:style w:type="character" w:styleId="Style12">
    <w:name w:val="Символ концевой сноски"/>
    <w:uiPriority w:val="99"/>
    <w:semiHidden/>
    <w:unhideWhenUsed/>
    <w:qFormat/>
    <w:rPr>
      <w:vertAlign w:val="superscript"/>
    </w:rPr>
  </w:style>
  <w:style w:type="character" w:styleId="Style13">
    <w:name w:val="Endnote Reference"/>
    <w:rPr>
      <w:vertAlign w:val="superscript"/>
    </w:rPr>
  </w:style>
  <w:style w:type="character" w:styleId="Style14" w:customStyle="1">
    <w:name w:val="Основной текст с отступом Знак"/>
    <w:semiHidden/>
    <w:qFormat/>
    <w:rPr>
      <w:rFonts w:cs="Times New Roman"/>
    </w:rPr>
  </w:style>
  <w:style w:type="character" w:styleId="Style15" w:customStyle="1">
    <w:name w:val="Текст выноски Знак"/>
    <w:link w:val="BalloonText"/>
    <w:semiHidden/>
    <w:qFormat/>
    <w:rPr>
      <w:rFonts w:ascii="Tahoma" w:hAnsi="Tahoma"/>
      <w:sz w:val="16"/>
    </w:rPr>
  </w:style>
  <w:style w:type="character" w:styleId="Annotationreference">
    <w:name w:val="annotation reference"/>
    <w:semiHidden/>
    <w:qFormat/>
    <w:rPr>
      <w:rFonts w:cs="Times New Roman"/>
      <w:sz w:val="16"/>
      <w:szCs w:val="16"/>
    </w:rPr>
  </w:style>
  <w:style w:type="character" w:styleId="Style16" w:customStyle="1">
    <w:name w:val="Текст примечания Знак"/>
    <w:link w:val="Annotationtext"/>
    <w:semiHidden/>
    <w:qFormat/>
    <w:rPr>
      <w:rFonts w:cs="Times New Roman"/>
      <w:lang w:val="en-US" w:eastAsia="en-US"/>
    </w:rPr>
  </w:style>
  <w:style w:type="character" w:styleId="Style17" w:customStyle="1">
    <w:name w:val="Тема примечания Знак"/>
    <w:link w:val="Annotationsubject"/>
    <w:semiHidden/>
    <w:qFormat/>
    <w:rPr>
      <w:rFonts w:cs="Times New Roman"/>
      <w:b/>
      <w:bCs/>
      <w:lang w:val="en-US" w:eastAsia="en-US"/>
    </w:rPr>
  </w:style>
  <w:style w:type="character" w:styleId="Style18" w:customStyle="1">
    <w:name w:val="Верхний колонтитул Знак"/>
    <w:uiPriority w:val="99"/>
    <w:qFormat/>
    <w:rPr>
      <w:rFonts w:eastAsia="Times New Roman"/>
      <w:sz w:val="22"/>
      <w:szCs w:val="22"/>
      <w:lang w:eastAsia="en-US"/>
    </w:rPr>
  </w:style>
  <w:style w:type="character" w:styleId="Style19" w:customStyle="1">
    <w:name w:val="Нижний колонтитул Знак"/>
    <w:uiPriority w:val="99"/>
    <w:qFormat/>
    <w:rPr>
      <w:rFonts w:eastAsia="Times New Roman"/>
      <w:sz w:val="22"/>
      <w:szCs w:val="22"/>
      <w:lang w:eastAsia="en-US"/>
    </w:rPr>
  </w:style>
  <w:style w:type="character" w:styleId="11" w:customStyle="1">
    <w:name w:val="Заголовок 1 Знак"/>
    <w:qFormat/>
    <w:rPr>
      <w:rFonts w:ascii="Cambria" w:hAnsi="Cambria" w:eastAsia="Times New Roman" w:cs="Times New Roman"/>
      <w:b/>
      <w:bCs/>
      <w:sz w:val="32"/>
      <w:szCs w:val="32"/>
      <w:lang w:eastAsia="en-US"/>
    </w:rPr>
  </w:style>
  <w:style w:type="paragraph" w:styleId="Style20" w:customStyle="1">
    <w:name w:val="Заголовок"/>
    <w:next w:val="Style21"/>
    <w:qFormat/>
    <w:pPr>
      <w:widowControl/>
      <w:suppressAutoHyphens w:val="true"/>
      <w:bidi w:val="0"/>
      <w:spacing w:before="0" w:after="0"/>
      <w:jc w:val="left"/>
    </w:pPr>
    <w:rPr>
      <w:rFonts w:ascii="Arial" w:hAnsi="Arial" w:eastAsia="Times New Roman" w:cs="Times New Roman"/>
      <w:b/>
      <w:color w:val="auto"/>
      <w:kern w:val="0"/>
      <w:sz w:val="22"/>
      <w:szCs w:val="20"/>
      <w:lang w:val="ru-RU" w:eastAsia="ru-RU" w:bidi="ar-SA"/>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pPr>
      <w:spacing w:before="0" w:after="200"/>
      <w:ind w:left="720" w:hanging="0"/>
      <w:contextualSpacing/>
    </w:pPr>
    <w:rPr>
      <w:lang w:eastAsia="ru-RU"/>
    </w:rPr>
  </w:style>
  <w:style w:type="paragraph" w:styleId="NoSpacing">
    <w:name w:val="No Spacing"/>
    <w:uiPriority w:val="1"/>
    <w:qFormat/>
    <w:pPr>
      <w:widowControl/>
      <w:suppressAutoHyphens w:val="true"/>
      <w:bidi w:val="0"/>
      <w:spacing w:before="0" w:after="0"/>
      <w:jc w:val="left"/>
    </w:pPr>
    <w:rPr>
      <w:rFonts w:ascii="Calibri" w:hAnsi="Calibri" w:eastAsia="Calibri" w:cs="Times New Roman"/>
      <w:color w:val="auto"/>
      <w:kern w:val="0"/>
      <w:sz w:val="20"/>
      <w:szCs w:val="20"/>
      <w:lang w:val="ru-RU" w:eastAsia="zh-CN" w:bidi="ar-SA"/>
    </w:rPr>
  </w:style>
  <w:style w:type="paragraph" w:styleId="Style25">
    <w:name w:val="Title"/>
    <w:basedOn w:val="Normal"/>
    <w:next w:val="Normal"/>
    <w:link w:val="Style5"/>
    <w:uiPriority w:val="10"/>
    <w:qFormat/>
    <w:pPr>
      <w:spacing w:before="300" w:after="200"/>
      <w:contextualSpacing/>
    </w:pPr>
    <w:rPr>
      <w:sz w:val="48"/>
      <w:szCs w:val="48"/>
    </w:rPr>
  </w:style>
  <w:style w:type="paragraph" w:styleId="Style26">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7">
    <w:name w:val="Колонтитул"/>
    <w:basedOn w:val="Normal"/>
    <w:qFormat/>
    <w:pPr/>
    <w:rPr/>
  </w:style>
  <w:style w:type="paragraph" w:styleId="Style28">
    <w:name w:val="Header"/>
    <w:basedOn w:val="Normal"/>
    <w:link w:val="Style18"/>
    <w:uiPriority w:val="99"/>
    <w:pPr>
      <w:tabs>
        <w:tab w:val="clear" w:pos="709"/>
        <w:tab w:val="center" w:pos="4677" w:leader="none"/>
        <w:tab w:val="right" w:pos="9355" w:leader="none"/>
      </w:tabs>
    </w:pPr>
    <w:rPr/>
  </w:style>
  <w:style w:type="paragraph" w:styleId="Style29">
    <w:name w:val="Footer"/>
    <w:basedOn w:val="Normal"/>
    <w:link w:val="Style19"/>
    <w:uiPriority w:val="99"/>
    <w:pPr>
      <w:tabs>
        <w:tab w:val="clear" w:pos="709"/>
        <w:tab w:val="center" w:pos="4677" w:leader="none"/>
        <w:tab w:val="right" w:pos="9355" w:leader="none"/>
      </w:tabs>
    </w:pPr>
    <w:rPr/>
  </w:style>
  <w:style w:type="paragraph" w:styleId="Caption">
    <w:name w:val="caption"/>
    <w:basedOn w:val="Normal"/>
    <w:next w:val="Normal"/>
    <w:uiPriority w:val="35"/>
    <w:semiHidden/>
    <w:unhideWhenUsed/>
    <w:qFormat/>
    <w:pPr/>
    <w:rPr>
      <w:b/>
      <w:bCs/>
      <w:color w:val="4F81BD" w:themeColor="accent1"/>
      <w:sz w:val="18"/>
      <w:szCs w:val="18"/>
    </w:rPr>
  </w:style>
  <w:style w:type="paragraph" w:styleId="Style30">
    <w:name w:val="Footnote Text"/>
    <w:basedOn w:val="Normal"/>
    <w:link w:val="Style8"/>
    <w:uiPriority w:val="99"/>
    <w:semiHidden/>
    <w:unhideWhenUsed/>
    <w:pPr>
      <w:spacing w:lineRule="auto" w:line="240" w:before="0" w:after="40"/>
    </w:pPr>
    <w:rPr>
      <w:sz w:val="18"/>
    </w:rPr>
  </w:style>
  <w:style w:type="paragraph" w:styleId="Style31">
    <w:name w:val="Endnote Text"/>
    <w:basedOn w:val="Normal"/>
    <w:link w:val="Style11"/>
    <w:uiPriority w:val="99"/>
    <w:semiHidden/>
    <w:unhideWhenUsed/>
    <w:pPr>
      <w:spacing w:lineRule="auto" w:line="240" w:before="0" w:after="0"/>
    </w:pPr>
    <w:rPr>
      <w:sz w:val="20"/>
    </w:rPr>
  </w:style>
  <w:style w:type="paragraph" w:styleId="12">
    <w:name w:val="TOC 1"/>
    <w:basedOn w:val="Normal"/>
    <w:next w:val="Normal"/>
    <w:uiPriority w:val="39"/>
    <w:unhideWhenUsed/>
    <w:pPr>
      <w:spacing w:before="0" w:after="57"/>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32">
    <w:name w:val="Index Heading"/>
    <w:basedOn w:val="Style20"/>
    <w:pPr/>
    <w:rPr/>
  </w:style>
  <w:style w:type="paragraph" w:styleId="Style33">
    <w:name w:val="TOC Heading"/>
    <w:uiPriority w:val="39"/>
    <w:unhideWhenUsed/>
    <w:pPr>
      <w:widowControl/>
      <w:suppressAutoHyphens w:val="true"/>
      <w:bidi w:val="0"/>
      <w:spacing w:before="0" w:after="0"/>
      <w:jc w:val="left"/>
    </w:pPr>
    <w:rPr>
      <w:rFonts w:ascii="Calibri" w:hAnsi="Calibri" w:eastAsia="Calibri" w:cs="Times New Roman"/>
      <w:color w:val="auto"/>
      <w:kern w:val="0"/>
      <w:sz w:val="20"/>
      <w:szCs w:val="20"/>
      <w:lang w:val="ru-RU" w:eastAsia="zh-CN" w:bidi="ar-SA"/>
    </w:rPr>
  </w:style>
  <w:style w:type="paragraph" w:styleId="Tableoffigures">
    <w:name w:val="table of figures"/>
    <w:basedOn w:val="Normal"/>
    <w:next w:val="Normal"/>
    <w:uiPriority w:val="99"/>
    <w:unhideWhenUsed/>
    <w:qFormat/>
    <w:pPr>
      <w:spacing w:before="0" w:after="0"/>
    </w:pPr>
    <w:rPr/>
  </w:style>
  <w:style w:type="paragraph" w:styleId="Style34">
    <w:name w:val="Body Text Indent"/>
    <w:basedOn w:val="Normal"/>
    <w:link w:val="Style14"/>
    <w:semiHidden/>
    <w:pPr>
      <w:spacing w:before="0" w:after="120"/>
      <w:ind w:left="283" w:hanging="0"/>
    </w:pPr>
    <w:rPr>
      <w:rFonts w:eastAsia="Calibri"/>
      <w:sz w:val="20"/>
      <w:szCs w:val="20"/>
      <w:lang w:val="en-US"/>
    </w:rPr>
  </w:style>
  <w:style w:type="paragraph" w:styleId="BalloonText">
    <w:name w:val="Balloon Text"/>
    <w:basedOn w:val="Normal"/>
    <w:link w:val="Style15"/>
    <w:semiHidden/>
    <w:qFormat/>
    <w:pPr>
      <w:spacing w:lineRule="auto" w:line="240" w:before="0" w:after="0"/>
    </w:pPr>
    <w:rPr>
      <w:rFonts w:ascii="Tahoma" w:hAnsi="Tahoma" w:eastAsia="Calibri"/>
      <w:sz w:val="16"/>
      <w:szCs w:val="20"/>
      <w:lang w:val="en-US"/>
    </w:rPr>
  </w:style>
  <w:style w:type="paragraph" w:styleId="Annotationtext">
    <w:name w:val="annotation text"/>
    <w:basedOn w:val="Normal"/>
    <w:link w:val="Style16"/>
    <w:semiHidden/>
    <w:qFormat/>
    <w:pPr/>
    <w:rPr>
      <w:rFonts w:eastAsia="Calibri"/>
      <w:sz w:val="20"/>
      <w:szCs w:val="20"/>
      <w:lang w:val="en-US"/>
    </w:rPr>
  </w:style>
  <w:style w:type="paragraph" w:styleId="Annotationsubject">
    <w:name w:val="annotation subject"/>
    <w:basedOn w:val="Annotationtext"/>
    <w:next w:val="Annotationtext"/>
    <w:link w:val="Style17"/>
    <w:semiHidden/>
    <w:qFormat/>
    <w:pPr/>
    <w:rPr>
      <w:b/>
      <w:bCs/>
    </w:rPr>
  </w:style>
  <w:style w:type="paragraph" w:styleId="Default" w:customStyle="1">
    <w:name w:val="Default"/>
    <w:qFormat/>
    <w:pPr>
      <w:widowControl/>
      <w:suppressAutoHyphens w:val="true"/>
      <w:bidi w:val="0"/>
      <w:spacing w:before="0" w:after="0"/>
      <w:jc w:val="left"/>
    </w:pPr>
    <w:rPr>
      <w:rFonts w:ascii="Arial" w:hAnsi="Arial" w:eastAsia="Calibri" w:cs="Arial"/>
      <w:color w:val="000000"/>
      <w:kern w:val="0"/>
      <w:sz w:val="24"/>
      <w:szCs w:val="24"/>
      <w:lang w:val="ru-RU" w:eastAsia="ru-RU" w:bidi="ar-SA"/>
    </w:rPr>
  </w:style>
  <w:style w:type="paragraph" w:styleId="NormalWeb">
    <w:name w:val="Normal (Web)"/>
    <w:basedOn w:val="Normal"/>
    <w:uiPriority w:val="99"/>
    <w:unhideWhenUsed/>
    <w:qFormat/>
    <w:pPr>
      <w:spacing w:lineRule="auto" w:line="240" w:beforeAutospacing="1" w:afterAutospacing="1"/>
    </w:pPr>
    <w:rPr>
      <w:rFonts w:ascii="Times New Roman" w:hAnsi="Times New Roman"/>
      <w:sz w:val="24"/>
      <w:szCs w:val="24"/>
      <w:lang w:eastAsia="ru-RU"/>
    </w:rPr>
  </w:style>
  <w:style w:type="paragraph" w:styleId="Revision">
    <w:name w:val="Revision"/>
    <w:uiPriority w:val="99"/>
    <w:semiHidden/>
    <w:qFormat/>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Niiaiieoaeno" w:customStyle="1">
    <w:name w:val="niiaiie oaeno"/>
    <w:basedOn w:val="Normal"/>
    <w:qFormat/>
    <w:pPr>
      <w:widowControl w:val="false"/>
      <w:spacing w:lineRule="auto" w:line="240" w:before="0" w:after="0"/>
      <w:jc w:val="both"/>
    </w:pPr>
    <w:rPr>
      <w:rFonts w:ascii="Times New Roman" w:hAnsi="Times New Roman"/>
      <w:sz w:val="28"/>
      <w:szCs w:val="20"/>
      <w:lang w:eastAsia="ru-RU"/>
    </w:rPr>
  </w:style>
  <w:style w:type="paragraph" w:styleId="Style35">
    <w:name w:val="Содержимое таблицы"/>
    <w:basedOn w:val="Normal"/>
    <w:qFormat/>
    <w:pPr>
      <w:widowControl w:val="false"/>
      <w:suppressLineNumbers/>
    </w:pPr>
    <w:rPr/>
  </w:style>
  <w:style w:type="paragraph" w:styleId="Style36">
    <w:name w:val="Заголовок таблицы"/>
    <w:basedOn w:val="Style3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tblPr>
      <w:tblCellMar>
        <w:top w:w="0" w:type="dxa"/>
        <w:left w:w="108" w:type="dxa"/>
        <w:bottom w:w="0" w:type="dxa"/>
        <w:right w:w="108" w:type="dxa"/>
      </w:tblCellMar>
    </w:tblPr>
  </w:style>
  <w:style w:type="table" w:customStyle="1" w:styleId="TableGridLight">
    <w:name w:val="Table Grid Light"/>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uiPriority w:val="99"/>
    <w:tblPr>
      <w:tblStyleRowBandSize w:val="1"/>
      <w:tblStyleColBandSize w:val="1"/>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4">
    <w:name w:val="Plain Table 4"/>
    <w:uiPriority w:val="99"/>
    <w:tblPr>
      <w:tblStyleRowBandSize w:val="1"/>
      <w:tblStyleColBandSize w:val="1"/>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5">
    <w:name w:val="Plain Table 5"/>
    <w:uiPriority w:val="99"/>
    <w:tblPr>
      <w:tblStyleRowBandSize w:val="1"/>
      <w:tblStyleColBandSize w:val="1"/>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GridTable1Light">
    <w:name w:val="Grid Table 1 Light"/>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GridTable2">
    <w:name w:val="Grid Table 2"/>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customStyle="1" w:styleId="ListTable1Light">
    <w:name w:val="List Table 1 Light"/>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ListTable4">
    <w:name w:val="List Table 4"/>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uiPriority w:val="99"/>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Pr>
      <w:lang w:eastAsia="ru-RU"/>
      <w:color w:val="404040"/>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Pr>
      <w:lang w:eastAsia="ru-RU"/>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rPr>
      <w:lang w:eastAsia="ru-RU"/>
      <w:color w:val="40404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Pr>
      <w:lang w:eastAsia="ru-RU"/>
      <w:color w:val="40404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Pr>
      <w:lang w:eastAsia="ru-RU"/>
      <w:color w:val="40404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Pr>
      <w:lang w:eastAsia="ru-RU"/>
      <w:color w:val="40404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Pr>
      <w:lang w:eastAsia="ru-RU"/>
      <w:color w:val="40404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Pr>
      <w:lang w:eastAsia="ru-RU"/>
      <w:color w:val="40404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EB83-695F-496E-A1DC-8D049420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LibreOffice/7.5.6.2$Linux_X86_64 LibreOffice_project/50$Build-2</Application>
  <AppVersion>15.0000</AppVersion>
  <Pages>4</Pages>
  <Words>1252</Words>
  <Characters>10269</Characters>
  <CharactersWithSpaces>11407</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2024-03-28T07:28:00Z</dcterms:created>
  <dc:creator>Горбунова Наталья</dc:creator>
  <dc:description/>
  <dc:language>ru-RU</dc:language>
  <cp:lastModifiedBy/>
  <cp:lastPrinted>2024-03-28T07:46:00Z</cp:lastPrinted>
  <dcterms:modified xsi:type="dcterms:W3CDTF">2024-04-09T15:24:52Z</dcterms:modified>
  <cp:revision>7</cp:revision>
  <dc:subject/>
  <dc:title/>
  <cp:version>1048576</cp:version>
</cp:coreProperties>
</file>

<file path=docProps/custom.xml><?xml version="1.0" encoding="utf-8"?>
<Properties xmlns="http://schemas.openxmlformats.org/officeDocument/2006/custom-properties" xmlns:vt="http://schemas.openxmlformats.org/officeDocument/2006/docPropsVTypes"/>
</file>