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82" w:rsidRPr="00AC7882" w:rsidRDefault="00AC7882" w:rsidP="00AC7882">
      <w:pPr>
        <w:widowControl/>
        <w:ind w:left="5245"/>
        <w:jc w:val="right"/>
        <w:rPr>
          <w:rFonts w:ascii="Times New Roman" w:eastAsia="Calibri" w:hAnsi="Times New Roman"/>
          <w:sz w:val="22"/>
          <w:szCs w:val="22"/>
        </w:rPr>
      </w:pPr>
      <w:r w:rsidRPr="00AC7882">
        <w:rPr>
          <w:rFonts w:ascii="Times New Roman" w:eastAsia="Calibri" w:hAnsi="Times New Roman"/>
          <w:sz w:val="22"/>
          <w:szCs w:val="22"/>
        </w:rPr>
        <w:t xml:space="preserve">Приложение </w:t>
      </w:r>
    </w:p>
    <w:p w:rsidR="00AC7882" w:rsidRPr="00AC7882" w:rsidRDefault="00AC7882" w:rsidP="00AC7882">
      <w:pPr>
        <w:widowControl/>
        <w:ind w:left="6521"/>
        <w:jc w:val="both"/>
        <w:rPr>
          <w:rFonts w:ascii="Times New Roman" w:eastAsia="Calibri" w:hAnsi="Times New Roman"/>
          <w:sz w:val="22"/>
          <w:szCs w:val="22"/>
        </w:rPr>
      </w:pPr>
      <w:r w:rsidRPr="00AC7882">
        <w:rPr>
          <w:rFonts w:ascii="Times New Roman" w:eastAsia="Calibri" w:hAnsi="Times New Roman"/>
          <w:sz w:val="22"/>
          <w:szCs w:val="22"/>
        </w:rPr>
        <w:t xml:space="preserve">к приказу Министерства труда и социальной защиты Чувашской Республики </w:t>
      </w:r>
    </w:p>
    <w:p w:rsidR="00AC7882" w:rsidRPr="00AC7882" w:rsidRDefault="00AC7882" w:rsidP="00AC7882">
      <w:pPr>
        <w:widowControl/>
        <w:ind w:left="6521"/>
        <w:jc w:val="both"/>
        <w:rPr>
          <w:rFonts w:ascii="Times New Roman" w:eastAsia="Calibri" w:hAnsi="Times New Roman"/>
          <w:sz w:val="22"/>
          <w:szCs w:val="22"/>
        </w:rPr>
      </w:pPr>
      <w:r w:rsidRPr="00AC7882">
        <w:rPr>
          <w:rFonts w:ascii="Times New Roman" w:eastAsia="Calibri" w:hAnsi="Times New Roman"/>
          <w:sz w:val="22"/>
          <w:szCs w:val="22"/>
        </w:rPr>
        <w:t>от                              №</w:t>
      </w:r>
    </w:p>
    <w:p w:rsidR="00A03572" w:rsidRDefault="00A03572" w:rsidP="00A823A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823A5" w:rsidRPr="00A823A5" w:rsidRDefault="00A823A5" w:rsidP="00A823A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603D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</w:p>
    <w:p w:rsidR="00A823A5" w:rsidRDefault="00A823A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343" w:rsidRPr="00740E61" w:rsidRDefault="00586FD1">
      <w:pPr>
        <w:jc w:val="center"/>
        <w:rPr>
          <w:rFonts w:ascii="Times New Roman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>Программ</w:t>
      </w:r>
      <w:r w:rsidR="00740E61" w:rsidRPr="00740E61">
        <w:rPr>
          <w:rFonts w:ascii="Times New Roman" w:hAnsi="Times New Roman"/>
          <w:b/>
          <w:bCs/>
          <w:sz w:val="28"/>
          <w:szCs w:val="28"/>
        </w:rPr>
        <w:t>а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 на </w:t>
      </w:r>
      <w:r w:rsidR="00A0769C" w:rsidRPr="00A0769C">
        <w:rPr>
          <w:rFonts w:ascii="Times New Roman" w:hAnsi="Times New Roman"/>
          <w:b/>
          <w:bCs/>
          <w:sz w:val="28"/>
          <w:szCs w:val="28"/>
        </w:rPr>
        <w:t>2024</w:t>
      </w:r>
      <w:r w:rsidRPr="00740E6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D1343" w:rsidRPr="00740E61" w:rsidRDefault="004D1343" w:rsidP="00A03572">
      <w:pPr>
        <w:rPr>
          <w:rFonts w:ascii="Times New Roman" w:hAnsi="Times New Roman"/>
          <w:b/>
          <w:sz w:val="28"/>
          <w:szCs w:val="28"/>
        </w:rPr>
      </w:pPr>
    </w:p>
    <w:p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4D1343" w:rsidRPr="00740E61" w:rsidRDefault="004D1343" w:rsidP="00A03572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480"/>
      </w:tblGrid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80" w:type="dxa"/>
          </w:tcPr>
          <w:p w:rsidR="004D1343" w:rsidRPr="00ED17F5" w:rsidRDefault="00586FD1" w:rsidP="00991D3C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рисков причинения вреда (ущерба) охраняемым законом ценностям в сфере регионального государственного контроля (надзора) за приемом на работу инвалидов в пределах установленной квоты на </w:t>
            </w:r>
            <w:r w:rsidR="00AC7882" w:rsidRPr="00AC78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 (далее – программа профилактики)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480" w:type="dxa"/>
          </w:tcPr>
          <w:p w:rsidR="004D1343" w:rsidRPr="00740E61" w:rsidRDefault="00586FD1" w:rsidP="00AD1EF4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31 июля 2020 года № 248-ФЗ «О 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D1343" w:rsidRDefault="00586FD1" w:rsidP="00AD1EF4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Правительства Российской Федерации от 25 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991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91D3C" w:rsidRPr="00ED17F5" w:rsidRDefault="00991D3C" w:rsidP="00AD1EF4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D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 Кабинета Министров Чува</w:t>
            </w:r>
            <w:r w:rsidR="00F67B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шской Республики от 29 сентября 2021 г. </w:t>
            </w:r>
            <w:r w:rsidRPr="00991D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482 «Об утверждении Положения о региональном государственном контроле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80" w:type="dxa"/>
          </w:tcPr>
          <w:p w:rsidR="004D1343" w:rsidRPr="00D73D7C" w:rsidRDefault="00D73D7C" w:rsidP="00AD1EF4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социальной защиты Чувашской Республики</w:t>
            </w:r>
            <w:r w:rsidR="004F70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– Минтруд Чувашии)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480" w:type="dxa"/>
          </w:tcPr>
          <w:p w:rsidR="00F5651E" w:rsidRPr="00740E61" w:rsidRDefault="00F5651E" w:rsidP="002C0355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повышение эффективности осуществления контрольно-надзорной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4F70CC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стимулирование добросовестного соблюдения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4F70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tabs>
                <w:tab w:val="left" w:pos="334"/>
              </w:tabs>
              <w:ind w:firstLine="3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="00F17384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tabs>
                <w:tab w:val="left" w:pos="334"/>
              </w:tabs>
              <w:ind w:firstLine="3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выполнение контролируемыми лицами установленной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квоты для приема на работу инвалидов в полном объеме;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tabs>
                <w:tab w:val="left" w:pos="334"/>
              </w:tabs>
              <w:ind w:firstLine="33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77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напряженности на региональном рынке труда среди граждан, имеющих инвалидность</w:t>
            </w:r>
            <w:r w:rsidR="00740E61" w:rsidRPr="00F877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740E61" w:rsidRPr="00F87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740E61" w:rsidRPr="00F87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E61" w:rsidRPr="00F877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480" w:type="dxa"/>
          </w:tcPr>
          <w:p w:rsidR="004D1343" w:rsidRPr="007C1650" w:rsidRDefault="00586FD1" w:rsidP="004F70C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6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16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квалификации должностных ли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 </w:t>
            </w:r>
            <w:r w:rsidR="004F70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Минтруда Чувашии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далее –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67A1" w:rsidRPr="00CC67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региональный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государственный контроль (надзор));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4D1343" w:rsidRPr="00740E61" w:rsidRDefault="00586FD1" w:rsidP="004F70CC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  <w:r w:rsidR="00E07CFA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480" w:type="dxa"/>
          </w:tcPr>
          <w:p w:rsidR="004D1343" w:rsidRPr="00740E61" w:rsidRDefault="004F70CC" w:rsidP="00ED17F5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4D1343" w:rsidRPr="00740E61">
        <w:tc>
          <w:tcPr>
            <w:tcW w:w="2376" w:type="dxa"/>
          </w:tcPr>
          <w:p w:rsidR="004D1343" w:rsidRPr="00B114FB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1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480" w:type="dxa"/>
          </w:tcPr>
          <w:p w:rsidR="004D1343" w:rsidRPr="00B114FB" w:rsidRDefault="00B114FB" w:rsidP="00ED17F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14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D1343" w:rsidRPr="00740E61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480" w:type="dxa"/>
          </w:tcPr>
          <w:p w:rsidR="004D1343" w:rsidRPr="00740E61" w:rsidRDefault="00586FD1" w:rsidP="00ED17F5">
            <w:pPr>
              <w:widowControl/>
              <w:shd w:val="clear" w:color="auto" w:fill="FFFFFF"/>
              <w:tabs>
                <w:tab w:val="left" w:pos="34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</w:t>
            </w:r>
            <w:r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квалифицированной профилактической работы должностных </w:t>
            </w:r>
            <w:r w:rsidR="002B4129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CC67A1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регионального </w:t>
            </w:r>
            <w:r w:rsidR="00AE39C1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AE39C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прозрачности профилактической </w:t>
            </w:r>
            <w:r w:rsidR="00FE0752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="00CC67A1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регионального</w:t>
            </w:r>
            <w:r w:rsidR="00FE0752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4129" w:rsidRPr="00D75F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повышение уровня правовой грамотности контролируемых лиц;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:rsidR="004D1343" w:rsidRPr="00740E61" w:rsidRDefault="00586FD1" w:rsidP="00ED17F5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мотивация контролируемых лиц к добросовестному поведению;</w:t>
            </w:r>
          </w:p>
          <w:p w:rsidR="004D1343" w:rsidRPr="00740E61" w:rsidRDefault="00586FD1" w:rsidP="00ED17F5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</w:t>
            </w:r>
          </w:p>
        </w:tc>
      </w:tr>
      <w:tr w:rsidR="004D1343">
        <w:tc>
          <w:tcPr>
            <w:tcW w:w="2376" w:type="dxa"/>
          </w:tcPr>
          <w:p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480" w:type="dxa"/>
          </w:tcPr>
          <w:p w:rsidR="004D1343" w:rsidRPr="00AB20F1" w:rsidRDefault="00586FD1" w:rsidP="00453576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квоты</w:t>
            </w:r>
          </w:p>
          <w:p w:rsidR="002B4129" w:rsidRDefault="00586FD1" w:rsidP="00453576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Описание текущего развития профилактической деятельности </w:t>
            </w:r>
            <w:r w:rsidR="006E36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регионального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1343" w:rsidRPr="00AB20F1" w:rsidRDefault="00586FD1" w:rsidP="00453576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:rsidR="004D1343" w:rsidRPr="00AB20F1" w:rsidRDefault="00586FD1" w:rsidP="00453576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:rsidR="004D1343" w:rsidRPr="00AB20F1" w:rsidRDefault="00586FD1" w:rsidP="00453576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:rsidR="004D1343" w:rsidRPr="00AB20F1" w:rsidRDefault="00586FD1" w:rsidP="00453576">
            <w:pPr>
              <w:widowControl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4. Показатели результативности и эффективности программы профилактики</w:t>
            </w:r>
          </w:p>
        </w:tc>
      </w:tr>
    </w:tbl>
    <w:p w:rsidR="004D1343" w:rsidRDefault="004D1343">
      <w:pPr>
        <w:jc w:val="center"/>
        <w:rPr>
          <w:rFonts w:cs="Arial"/>
          <w:b/>
          <w:sz w:val="24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F70CC" w:rsidRDefault="004F70CC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F70CC" w:rsidRDefault="004F70CC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F5651E" w:rsidRDefault="00F5651E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A03572" w:rsidRDefault="00A03572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A0769C" w:rsidRDefault="00A0769C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AD1EF4" w:rsidRPr="00991D3C" w:rsidRDefault="00AD1EF4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4D1343" w:rsidRDefault="004D1343">
      <w:pPr>
        <w:widowControl/>
        <w:jc w:val="both"/>
        <w:rPr>
          <w:rFonts w:eastAsia="Times New Roman" w:cs="Arial"/>
          <w:sz w:val="24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6427" w:rsidRDefault="00EF6427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</w:t>
      </w: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</w:p>
    <w:p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343" w:rsidRPr="004B67CA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контроля (надзора) за приемом на работу инвалидов в пределах установленной квоты</w:t>
      </w:r>
      <w:r w:rsidR="00323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D40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осуществляемого</w:t>
      </w:r>
      <w:r w:rsidR="00DA2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DFD" w:rsidRPr="004B6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Минтрудом Чувашии</w:t>
      </w:r>
      <w:r w:rsidRPr="004B6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28F" w:rsidRDefault="009D228F" w:rsidP="00AB20F1">
      <w:pPr>
        <w:widowControl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D228F" w:rsidRPr="002B4129" w:rsidRDefault="00586FD1" w:rsidP="00A03572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Описание текущего развития профилактической деятельности </w:t>
      </w:r>
      <w:r w:rsidR="002B4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2B4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:rsidR="00A03572" w:rsidRDefault="00A03572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228F" w:rsidRP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Обязательные требования к осуществлению деятельности юридических лиц и индивидуальных предпринимателей в области квотирования рабочих мест для приема на работу инвалидов установлены нормативными правовыми актами Российской Федерации и нормативными правовыми актами </w:t>
      </w:r>
      <w:r w:rsidR="00BC0FC3" w:rsidRPr="00B20A7C">
        <w:rPr>
          <w:rFonts w:ascii="Times New Roman" w:eastAsia="Times New Roman" w:hAnsi="Times New Roman"/>
          <w:sz w:val="28"/>
          <w:szCs w:val="28"/>
          <w:lang w:eastAsia="ru-RU"/>
        </w:rPr>
        <w:t xml:space="preserve">Чувашской Республики </w:t>
      </w:r>
      <w:r w:rsidRPr="00B20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обязательны для исполнения:</w:t>
      </w:r>
    </w:p>
    <w:p w:rsidR="009D228F" w:rsidRPr="00D01CA5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CA5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13.2 Закона Российской Федерации от 19 апреля 1991 года № 1032 – I «О занятости населения в Российской Федерации» (далее – Закон о занятости):</w:t>
      </w:r>
    </w:p>
    <w:p w:rsidR="00772F15" w:rsidRDefault="009D228F" w:rsidP="00BC0FC3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устанавливается квота для приема на работу инвалидов работодателям</w:t>
      </w:r>
      <w:r w:rsidR="00D0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D228F" w:rsidRDefault="00772F15" w:rsidP="009D228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численность </w:t>
      </w:r>
      <w:proofErr w:type="gramStart"/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="009D228F"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превышает 100 человек, в размере от 2 до 4 процентов среднесписочной численности работников;</w:t>
      </w:r>
    </w:p>
    <w:p w:rsidR="00772F15" w:rsidRPr="00772F15" w:rsidRDefault="00772F15" w:rsidP="00D01CA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численность </w:t>
      </w:r>
      <w:proofErr w:type="gramStart"/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</w:t>
      </w:r>
      <w:proofErr w:type="gramEnd"/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превышает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D0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100</w:t>
      </w:r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D0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включительно</w:t>
      </w:r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размере </w:t>
      </w:r>
      <w:r w:rsidR="00D0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3</w:t>
      </w:r>
      <w:r w:rsidRPr="00772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среднесписочной численности работников;</w:t>
      </w:r>
    </w:p>
    <w:p w:rsidR="009D228F" w:rsidRPr="009D228F" w:rsidRDefault="009D228F" w:rsidP="00BC0FC3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квота для приема на работу инвалидов считается выполненной работодателем </w:t>
      </w:r>
      <w:proofErr w:type="gramStart"/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оформления в установленном порядке трудовых отношений с инвалидами в рамках исполнения работодателем обязанности по трудоустройству</w:t>
      </w:r>
      <w:proofErr w:type="gramEnd"/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инвалидов в соот</w:t>
      </w:r>
      <w:r w:rsidR="00B20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ветствии с установленной квотой;</w:t>
      </w:r>
    </w:p>
    <w:p w:rsidR="00B20A7C" w:rsidRPr="005F6AA4" w:rsidRDefault="002449FC" w:rsidP="00B20A7C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0F5881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первой </w:t>
      </w: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0F5881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r w:rsidR="00BC0FC3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</w:t>
      </w: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C0FC3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Чувашской Республики </w:t>
      </w: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B56F7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ноября 2011 года № 68 </w:t>
      </w:r>
      <w:r w:rsidR="00BC0FC3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квотировании рабочих мест для инвалидов в Чувашской республике»</w:t>
      </w:r>
      <w:r w:rsidR="00B20A7C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20A7C" w:rsidRPr="005F6AA4" w:rsidRDefault="008D23DD" w:rsidP="00B20A7C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20A7C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работодателям, у которых численность работников превышает 100 человек, устанавливается квота для приема на работу инвалидов в размере трех процентов от среднесписочной численности работников;</w:t>
      </w:r>
    </w:p>
    <w:p w:rsidR="00B20A7C" w:rsidRPr="005F6AA4" w:rsidRDefault="008D23DD" w:rsidP="00B20A7C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20A7C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работодателям, у которых численность работников составляет от 35 до 100 человек включительно, устанавливается квота для приема на работу инвалидов в размере двух процентов от среднес</w:t>
      </w:r>
      <w:r w:rsidR="001B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писочной численности работников;</w:t>
      </w:r>
      <w:r w:rsidR="00B20A7C" w:rsidRPr="005F6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F5881" w:rsidRPr="00BD2A43" w:rsidRDefault="000F5881" w:rsidP="00B73E5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филиалам и представительствам работодателя, которые расположены на территории Чувашской Республики, квота для приема на работу инвалидов устанавливается в соответствии с </w:t>
      </w:r>
      <w:r w:rsidR="001B6884" w:rsidRPr="001B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Чувашской Республики от 25 ноября </w:t>
      </w:r>
      <w:r w:rsidR="001B6884" w:rsidRPr="001B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2011 года № 68</w:t>
      </w:r>
      <w:r w:rsidRPr="001B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исходя из среднесписочной численности работников таких филиалов и представительств работодателя.</w:t>
      </w:r>
      <w:r w:rsidRPr="000F58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228F" w:rsidRP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абзацу 3 части 3 статьи 25 </w:t>
      </w:r>
      <w:r w:rsidR="00781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о занятости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работодатели обязаны ежемесячно представлять органам службы занятости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proofErr w:type="gramEnd"/>
    </w:p>
    <w:p w:rsidR="009D228F" w:rsidRPr="0097001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0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</w:t>
      </w:r>
      <w:r w:rsidR="0097001F" w:rsidRPr="00970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зательные требования закреплены Законом Чувашской Республики от 25 ноября 2011 года № 68 «О квотировании рабочих мест для инвалидов в Чувашской Республике»</w:t>
      </w:r>
      <w:r w:rsidRPr="00970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28F" w:rsidRPr="009D228F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0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Профилактические мероприятия</w:t>
      </w:r>
      <w:r w:rsidRPr="009D2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осуществляются в отношении работодателей, которым установлена квота для приема на работу инвалидов.</w:t>
      </w:r>
    </w:p>
    <w:p w:rsidR="009D228F" w:rsidRPr="00475E54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работодателей </w:t>
      </w:r>
      <w:r w:rsidR="000F5881"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Чувашской Республики</w:t>
      </w:r>
      <w:r w:rsidR="00A03572"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</w:t>
      </w:r>
      <w:r w:rsidR="004C5943"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распространяется законодательство</w:t>
      </w: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квотировании рабочих мест для приема на работу инвалидов</w:t>
      </w:r>
      <w:r w:rsidR="00475E54"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1036</w:t>
      </w: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56BEB" w:rsidRPr="00475E54" w:rsidRDefault="00056BEB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категориям риска:</w:t>
      </w:r>
    </w:p>
    <w:p w:rsidR="005710CD" w:rsidRPr="00475E54" w:rsidRDefault="00475E54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-средний - 0</w:t>
      </w:r>
    </w:p>
    <w:p w:rsidR="005710CD" w:rsidRPr="00475E54" w:rsidRDefault="00475E54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-умеренный - 159</w:t>
      </w:r>
    </w:p>
    <w:p w:rsidR="00056BEB" w:rsidRPr="009D228F" w:rsidRDefault="00475E54" w:rsidP="00475E54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5E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-низкий - 877</w:t>
      </w:r>
      <w:bookmarkStart w:id="0" w:name="_GoBack"/>
      <w:bookmarkEnd w:id="0"/>
    </w:p>
    <w:p w:rsidR="009D228F" w:rsidRPr="005E1958" w:rsidRDefault="009D228F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значимыми рисками для охраняемых законом ценностей являются:</w:t>
      </w:r>
    </w:p>
    <w:p w:rsidR="009D228F" w:rsidRPr="005E1958" w:rsidRDefault="009D228F" w:rsidP="009D228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неисполнение работодателем обязанности по созданию (выделению) рабочих мест для трудоустройства инвалидов в соответствии с установленной квотой для приема на работу инвалидов;</w:t>
      </w:r>
    </w:p>
    <w:p w:rsidR="009D228F" w:rsidRPr="005E1958" w:rsidRDefault="009D228F" w:rsidP="009D228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отказ в приеме на работу инвалида в пределах установленной квоты;</w:t>
      </w:r>
    </w:p>
    <w:p w:rsidR="009D228F" w:rsidRPr="005E1958" w:rsidRDefault="009D228F" w:rsidP="009D228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несвоевременное представление информации о выполнении квоты для приема на работу инвалидов, предусмотренной законом, а также представление такой информации в неполном объеме и (или) в искаженном виде, что является нарушением части 3 статьи 25 Закона о занятости населения и влечет административную ответственность, предусмотренную статьей 19.7 КоАП РФ;</w:t>
      </w:r>
    </w:p>
    <w:p w:rsidR="00D91DB9" w:rsidRDefault="009D228F" w:rsidP="00B26AD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26ADF"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оформления </w:t>
      </w:r>
      <w:proofErr w:type="gramStart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установленном порядке работодателем трудовых отношений с инвалидами в рамках исполнения обязанности по трудоустройству инвалидов в соответствии</w:t>
      </w:r>
      <w:proofErr w:type="gramEnd"/>
      <w:r w:rsidRPr="005E1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установленной квотой</w:t>
      </w:r>
      <w:r w:rsidR="00B26ADF" w:rsidRPr="00603D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5701" w:rsidRPr="00855701" w:rsidRDefault="00855701" w:rsidP="008557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5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Невыполнение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тысяч до 10 тысяч рублей, предусмотренного </w:t>
      </w:r>
      <w:hyperlink r:id="rId9" w:history="1">
        <w:r w:rsidRPr="0085570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частью 1 статьи 5.42</w:t>
        </w:r>
      </w:hyperlink>
      <w:r w:rsidRPr="0085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</w:t>
      </w:r>
      <w:proofErr w:type="gramEnd"/>
      <w:r w:rsidRPr="0085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85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5701" w:rsidRPr="00B26ADF" w:rsidRDefault="00855701" w:rsidP="00B26ADF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1CA5" w:rsidRDefault="00D01CA5" w:rsidP="00AB20F1">
      <w:pPr>
        <w:widowControl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1343" w:rsidRDefault="00586FD1" w:rsidP="00A03572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1.2. Характеристика проблем, на решение которых направлена программа профилактики</w:t>
      </w:r>
    </w:p>
    <w:p w:rsidR="00A03572" w:rsidRPr="00AB20F1" w:rsidRDefault="00A03572" w:rsidP="00A03572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3572" w:rsidRDefault="00A03572" w:rsidP="00A035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813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</w:t>
      </w:r>
      <w:r w:rsidRPr="00DE4813">
        <w:rPr>
          <w:rFonts w:ascii="Times New Roman" w:eastAsia="Calibri" w:hAnsi="Times New Roman"/>
          <w:sz w:val="28"/>
          <w:szCs w:val="28"/>
        </w:rPr>
        <w:t xml:space="preserve">за </w:t>
      </w:r>
      <w:r w:rsidRPr="00DE4813">
        <w:rPr>
          <w:rFonts w:ascii="Times New Roman" w:hAnsi="Times New Roman"/>
          <w:sz w:val="28"/>
          <w:szCs w:val="28"/>
        </w:rPr>
        <w:t>приемом на работу инвалидов</w:t>
      </w:r>
      <w:r w:rsidR="00B53CF0" w:rsidRPr="00DE4813">
        <w:rPr>
          <w:rFonts w:ascii="Times New Roman" w:hAnsi="Times New Roman"/>
          <w:sz w:val="28"/>
          <w:szCs w:val="28"/>
        </w:rPr>
        <w:t xml:space="preserve"> в пределах установленной квоты </w:t>
      </w:r>
      <w:r w:rsidRPr="00DE4813">
        <w:rPr>
          <w:rFonts w:ascii="Times New Roman" w:hAnsi="Times New Roman"/>
          <w:sz w:val="28"/>
          <w:szCs w:val="28"/>
        </w:rPr>
        <w:t xml:space="preserve">осуществляется </w:t>
      </w:r>
      <w:r w:rsidR="00B53CF0" w:rsidRPr="00DE4813">
        <w:rPr>
          <w:rFonts w:ascii="Times New Roman" w:hAnsi="Times New Roman"/>
          <w:sz w:val="28"/>
          <w:szCs w:val="28"/>
        </w:rPr>
        <w:t>Минтрудом Чувашии</w:t>
      </w:r>
      <w:r w:rsidRPr="00DE481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 w:history="1">
        <w:r w:rsidRPr="00DE4813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DE48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CF0" w:rsidRPr="00DE4813">
        <w:rPr>
          <w:rFonts w:ascii="Times New Roman" w:hAnsi="Times New Roman"/>
          <w:sz w:val="28"/>
          <w:szCs w:val="28"/>
        </w:rPr>
        <w:t>о занятости</w:t>
      </w:r>
      <w:r w:rsidRPr="00DE4813">
        <w:rPr>
          <w:rFonts w:ascii="Times New Roman" w:hAnsi="Times New Roman"/>
          <w:sz w:val="28"/>
          <w:szCs w:val="28"/>
        </w:rPr>
        <w:t xml:space="preserve">, Федеральным законом «О государственном контроле (надзоре) и муниципальном контроле в Российской Федерации», </w:t>
      </w:r>
      <w:hyperlink r:id="rId11" w:history="1">
        <w:r w:rsidRPr="00DE4813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DE48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4813">
        <w:rPr>
          <w:rFonts w:ascii="Times New Roman" w:hAnsi="Times New Roman"/>
          <w:sz w:val="28"/>
          <w:szCs w:val="28"/>
        </w:rPr>
        <w:t>о Министерстве труда и социальной защиты Чувашской Республики, утвержденным постановлением Кабинета Министров Чувашской Республи</w:t>
      </w:r>
      <w:r w:rsidR="00B53CF0" w:rsidRPr="00DE4813">
        <w:rPr>
          <w:rFonts w:ascii="Times New Roman" w:hAnsi="Times New Roman"/>
          <w:sz w:val="28"/>
          <w:szCs w:val="28"/>
        </w:rPr>
        <w:t xml:space="preserve">ки от 14 октября 2015 г. № 367 </w:t>
      </w:r>
      <w:r w:rsidRPr="00DE4813">
        <w:rPr>
          <w:rFonts w:ascii="Times New Roman" w:hAnsi="Times New Roman"/>
          <w:sz w:val="28"/>
          <w:szCs w:val="28"/>
        </w:rPr>
        <w:t>и Положением о региональном государственном</w:t>
      </w:r>
      <w:proofErr w:type="gramEnd"/>
      <w:r w:rsidRPr="00DE48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4813">
        <w:rPr>
          <w:rFonts w:ascii="Times New Roman" w:hAnsi="Times New Roman"/>
          <w:sz w:val="28"/>
          <w:szCs w:val="28"/>
        </w:rPr>
        <w:t xml:space="preserve">контроле (надзоре) </w:t>
      </w:r>
      <w:r w:rsidRPr="00DE4813">
        <w:rPr>
          <w:rFonts w:ascii="Times New Roman" w:eastAsia="Calibri" w:hAnsi="Times New Roman"/>
          <w:sz w:val="28"/>
          <w:szCs w:val="28"/>
        </w:rPr>
        <w:t xml:space="preserve">за </w:t>
      </w:r>
      <w:r w:rsidRPr="00DE4813">
        <w:rPr>
          <w:rFonts w:ascii="Times New Roman" w:hAnsi="Times New Roman"/>
          <w:sz w:val="28"/>
          <w:szCs w:val="28"/>
        </w:rPr>
        <w:t>приемом на работу инвалидов в пределах установленной квоты, утвержденным постановлением Кабинета Министров Чувашско</w:t>
      </w:r>
      <w:r w:rsidR="00B53CF0" w:rsidRPr="00DE4813">
        <w:rPr>
          <w:rFonts w:ascii="Times New Roman" w:hAnsi="Times New Roman"/>
          <w:sz w:val="28"/>
          <w:szCs w:val="28"/>
        </w:rPr>
        <w:t xml:space="preserve">й Республики от 29 сентября </w:t>
      </w:r>
      <w:r w:rsidRPr="00DE4813">
        <w:rPr>
          <w:rFonts w:ascii="Times New Roman" w:hAnsi="Times New Roman"/>
          <w:sz w:val="28"/>
          <w:szCs w:val="28"/>
        </w:rPr>
        <w:t>2021 г. № 482 (далее – Положение о региональном государственном контроле (надзоре).</w:t>
      </w:r>
      <w:proofErr w:type="gramEnd"/>
    </w:p>
    <w:p w:rsidR="00BB1101" w:rsidRPr="00BB1101" w:rsidRDefault="00107DEA" w:rsidP="00BB11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13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DE4813">
        <w:rPr>
          <w:rFonts w:ascii="Times New Roman" w:hAnsi="Times New Roman"/>
          <w:sz w:val="28"/>
          <w:szCs w:val="28"/>
        </w:rPr>
        <w:t xml:space="preserve"> о региональном государственном контроле (надзоре)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101" w:rsidRPr="004B67CA">
        <w:rPr>
          <w:rFonts w:ascii="Times New Roman" w:eastAsia="Times New Roman" w:hAnsi="Times New Roman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навлены</w:t>
      </w:r>
      <w:proofErr w:type="spellEnd"/>
      <w:r w:rsidR="004037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 контроля, система</w:t>
      </w:r>
      <w:r w:rsidR="00BB1101" w:rsidRPr="004B67C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и управления рисками причинения вреда (ущерба) охраняемым законом ценностям, виды мероприятий по профилактике рисков причинения вреда (ущерба) охраняемым законом ценностям и виды контрольно-надзорных мероприятий при осуществлении регионального государственного контроля (надзора) за приемом на работу инвалидов в пределах установленной квоты.</w:t>
      </w:r>
    </w:p>
    <w:p w:rsidR="00A03572" w:rsidRPr="00DE4813" w:rsidRDefault="00A03572" w:rsidP="00A03572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13">
        <w:rPr>
          <w:rFonts w:ascii="Times New Roman" w:eastAsia="Times New Roman" w:hAnsi="Times New Roman"/>
          <w:sz w:val="28"/>
          <w:szCs w:val="28"/>
          <w:lang w:eastAsia="ru-RU"/>
        </w:rPr>
        <w:t>Предметом регионального государственного контроля (надзора) является соблюдение работодателями обязательных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Чувашской Республики (далее - обязательные требования). Под работодателями при осуществлении регионального государственного контроля (надзора) понимаются юридические лица и индивидуальные предприниматели, имеющие численность работников не менее 35 человек, осуществляющие свою деятельность на территории Чувашской Республики, которым в соответствии с законодательством Российской Федерации и законодательством Чувашской Республики установлена квота для приема на работу инвалидов.</w:t>
      </w:r>
    </w:p>
    <w:p w:rsidR="00A03572" w:rsidRPr="008E7B52" w:rsidRDefault="00A03572" w:rsidP="00A03572">
      <w:pPr>
        <w:widowControl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По состоянию на 1 </w:t>
      </w:r>
      <w:r w:rsidR="00395A05" w:rsidRPr="008E7B52">
        <w:rPr>
          <w:rFonts w:ascii="Times New Roman" w:eastAsia="Calibri" w:hAnsi="Times New Roman"/>
          <w:color w:val="000000"/>
          <w:sz w:val="28"/>
          <w:szCs w:val="28"/>
        </w:rPr>
        <w:t>сентября 2023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г. квота для трудоустр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>ойства инвалидов установлена 742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работодателям с </w:t>
      </w:r>
      <w:r w:rsidRPr="008E7B52">
        <w:rPr>
          <w:rFonts w:ascii="Times New Roman" w:eastAsia="Calibri" w:hAnsi="Times New Roman"/>
          <w:sz w:val="28"/>
          <w:szCs w:val="28"/>
        </w:rPr>
        <w:t>численностью работников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от 35 до 100 человек. Общее количеств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о квотируемых рабочих мест – </w:t>
      </w:r>
      <w:r w:rsidR="008E7B52" w:rsidRPr="008E7B52">
        <w:rPr>
          <w:rFonts w:ascii="Times New Roman" w:eastAsia="Calibri" w:hAnsi="Times New Roman"/>
          <w:color w:val="000000"/>
          <w:sz w:val="28"/>
          <w:szCs w:val="28"/>
        </w:rPr>
        <w:t>811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>, трудоустроено инва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>лидов на квотируемые места – 7</w:t>
      </w:r>
      <w:r w:rsidR="008E7B52" w:rsidRPr="008E7B52">
        <w:rPr>
          <w:rFonts w:ascii="Times New Roman" w:eastAsia="Calibri" w:hAnsi="Times New Roman"/>
          <w:color w:val="000000"/>
          <w:sz w:val="28"/>
          <w:szCs w:val="28"/>
        </w:rPr>
        <w:t>34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человек,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выполнение квоты составило </w:t>
      </w:r>
      <w:r w:rsidR="008E7B52" w:rsidRPr="008E7B52">
        <w:rPr>
          <w:rFonts w:ascii="Times New Roman" w:eastAsia="Calibri" w:hAnsi="Times New Roman"/>
          <w:color w:val="000000"/>
          <w:sz w:val="28"/>
          <w:szCs w:val="28"/>
        </w:rPr>
        <w:t>90,5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>%.</w:t>
      </w:r>
    </w:p>
    <w:p w:rsidR="007C3968" w:rsidRPr="008E7B52" w:rsidRDefault="00A03572" w:rsidP="008E7B52">
      <w:pPr>
        <w:widowControl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По состоянию на </w:t>
      </w:r>
      <w:r w:rsidR="00395A05"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1 сентября 2023 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>г. квота для трудоустр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>ойства инвалидов установлена 294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работодателям с </w:t>
      </w:r>
      <w:r w:rsidRPr="008E7B52">
        <w:rPr>
          <w:rFonts w:ascii="Times New Roman" w:eastAsia="Calibri" w:hAnsi="Times New Roman"/>
          <w:sz w:val="28"/>
          <w:szCs w:val="28"/>
        </w:rPr>
        <w:t>численностью работников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более 100 человек. Общее количество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квотируемых рабочих мест – 1782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>, трудоустроено инвал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>идов на квотируемые места – 1506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человек,</w:t>
      </w:r>
      <w:r w:rsidR="007C3968" w:rsidRPr="008E7B52">
        <w:rPr>
          <w:rFonts w:ascii="Times New Roman" w:eastAsia="Calibri" w:hAnsi="Times New Roman"/>
          <w:color w:val="000000"/>
          <w:sz w:val="28"/>
          <w:szCs w:val="28"/>
        </w:rPr>
        <w:t xml:space="preserve"> выполнение квоты составило 84,5</w:t>
      </w:r>
      <w:r w:rsidRPr="008E7B52">
        <w:rPr>
          <w:rFonts w:ascii="Times New Roman" w:eastAsia="Calibri" w:hAnsi="Times New Roman"/>
          <w:color w:val="000000"/>
          <w:sz w:val="28"/>
          <w:szCs w:val="28"/>
        </w:rPr>
        <w:t>%.</w:t>
      </w:r>
    </w:p>
    <w:p w:rsidR="004B67CA" w:rsidRPr="004B67CA" w:rsidRDefault="00874CE6" w:rsidP="00AB10E3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Охраняемыми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ценности, защищаемые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87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</w:t>
      </w:r>
      <w:r w:rsidR="004B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7CA">
        <w:rPr>
          <w:rFonts w:ascii="Times New Roman" w:hAnsi="Times New Roman"/>
          <w:sz w:val="28"/>
          <w:szCs w:val="28"/>
        </w:rPr>
        <w:t>регионального государственного контроля</w:t>
      </w:r>
      <w:r w:rsidR="004B67CA" w:rsidRPr="00DE4813">
        <w:rPr>
          <w:rFonts w:ascii="Times New Roman" w:hAnsi="Times New Roman"/>
          <w:sz w:val="28"/>
          <w:szCs w:val="28"/>
        </w:rPr>
        <w:t xml:space="preserve"> (надзор</w:t>
      </w:r>
      <w:r w:rsidR="004B67CA">
        <w:rPr>
          <w:rFonts w:ascii="Times New Roman" w:hAnsi="Times New Roman"/>
          <w:sz w:val="28"/>
          <w:szCs w:val="28"/>
        </w:rPr>
        <w:t>а</w:t>
      </w:r>
      <w:r w:rsidR="004B67CA" w:rsidRPr="00DE4813">
        <w:rPr>
          <w:rFonts w:ascii="Times New Roman" w:hAnsi="Times New Roman"/>
          <w:sz w:val="28"/>
          <w:szCs w:val="28"/>
        </w:rPr>
        <w:t xml:space="preserve">) </w:t>
      </w:r>
      <w:r w:rsidR="004B67CA" w:rsidRPr="00DE4813">
        <w:rPr>
          <w:rFonts w:ascii="Times New Roman" w:eastAsia="Calibri" w:hAnsi="Times New Roman"/>
          <w:sz w:val="28"/>
          <w:szCs w:val="28"/>
        </w:rPr>
        <w:t xml:space="preserve">за </w:t>
      </w:r>
      <w:r w:rsidR="004B67CA" w:rsidRPr="00DE4813">
        <w:rPr>
          <w:rFonts w:ascii="Times New Roman" w:hAnsi="Times New Roman"/>
          <w:sz w:val="28"/>
          <w:szCs w:val="28"/>
        </w:rPr>
        <w:t>приемом на работу инвалидов в пределах установленной квоты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>право инвалидов на труд и социальную защиту от безработицы.</w:t>
      </w:r>
      <w:r w:rsidR="00AB1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0E3" w:rsidRPr="004B67CA">
        <w:rPr>
          <w:rFonts w:ascii="Times New Roman" w:eastAsia="Times New Roman" w:hAnsi="Times New Roman"/>
          <w:sz w:val="28"/>
          <w:szCs w:val="28"/>
          <w:lang w:eastAsia="ru-RU"/>
        </w:rPr>
        <w:t>Целью введения обязательных требований</w:t>
      </w:r>
      <w:r w:rsidR="00AB1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0E3" w:rsidRPr="004B6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обеспечение дополнительных государственных гарантий инвалидам, реализация ими права на труд и социальную защиту от безработицы, то есть снижение (устранение) риска безработицы среди инвали</w:t>
      </w:r>
      <w:r w:rsidR="003215F3">
        <w:rPr>
          <w:rFonts w:ascii="Times New Roman" w:eastAsia="Times New Roman" w:hAnsi="Times New Roman"/>
          <w:sz w:val="28"/>
          <w:szCs w:val="28"/>
          <w:lang w:eastAsia="ru-RU"/>
        </w:rPr>
        <w:t>дов.</w:t>
      </w:r>
    </w:p>
    <w:p w:rsidR="00457EB2" w:rsidRDefault="00D61873" w:rsidP="00BB11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61873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решение таких проблем, как 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>нарушение права 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труд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>, безработица среди инвалидов</w:t>
      </w:r>
      <w:r w:rsidR="00AB10E3">
        <w:rPr>
          <w:rFonts w:ascii="Times New Roman" w:eastAsia="Times New Roman" w:hAnsi="Times New Roman"/>
          <w:sz w:val="28"/>
          <w:szCs w:val="28"/>
          <w:lang w:eastAsia="ru-RU"/>
        </w:rPr>
        <w:t>. Одной из причин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казанных проблем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4B67CA" w:rsidRPr="004B67CA">
        <w:rPr>
          <w:rFonts w:ascii="Times New Roman" w:eastAsia="Times New Roman" w:hAnsi="Times New Roman"/>
          <w:sz w:val="28"/>
          <w:szCs w:val="28"/>
          <w:lang w:eastAsia="ru-RU"/>
        </w:rPr>
        <w:t>невыполнение работодателями обязательных требований по приему на работу инвалидов в пределах установленной квоты.</w:t>
      </w:r>
    </w:p>
    <w:p w:rsidR="00BB1101" w:rsidRPr="00BB1101" w:rsidRDefault="00BB1101" w:rsidP="00BB11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101">
        <w:rPr>
          <w:rFonts w:ascii="Times New Roman" w:eastAsia="Times New Roman" w:hAnsi="Times New Roman"/>
          <w:sz w:val="28"/>
          <w:szCs w:val="28"/>
          <w:lang w:eastAsia="ru-RU"/>
        </w:rPr>
        <w:t>Варианты решения проблем</w:t>
      </w:r>
      <w:r w:rsidR="00457EB2">
        <w:rPr>
          <w:rFonts w:ascii="Times New Roman" w:eastAsia="Times New Roman" w:hAnsi="Times New Roman"/>
          <w:sz w:val="28"/>
          <w:szCs w:val="28"/>
          <w:lang w:eastAsia="ru-RU"/>
        </w:rPr>
        <w:t>, реализуемые в рамках программы профилактики</w:t>
      </w:r>
      <w:r w:rsidRPr="00BB11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1101" w:rsidRPr="00BB1101" w:rsidRDefault="00BB1101" w:rsidP="00BB11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101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информированности работодателей об обязанностях в сфере квотирования рабочих мест для приема на работу инвалидов;</w:t>
      </w:r>
    </w:p>
    <w:p w:rsidR="00BB1101" w:rsidRPr="00BB1101" w:rsidRDefault="00BB1101" w:rsidP="00BB1101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101">
        <w:rPr>
          <w:rFonts w:ascii="Times New Roman" w:eastAsia="Times New Roman" w:hAnsi="Times New Roman"/>
          <w:sz w:val="28"/>
          <w:szCs w:val="28"/>
          <w:lang w:eastAsia="ru-RU"/>
        </w:rPr>
        <w:t>оказание методической помощи работодателям по организации создания рабочих мест для инвалидов</w:t>
      </w:r>
      <w:r w:rsidR="00457EB2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457EB2" w:rsidRPr="00457EB2">
        <w:rPr>
          <w:rFonts w:ascii="Times New Roman" w:eastAsia="Times New Roman" w:hAnsi="Times New Roman"/>
          <w:sz w:val="28"/>
          <w:szCs w:val="28"/>
          <w:lang w:eastAsia="ru-RU"/>
        </w:rPr>
        <w:t>выполнению квоты для приема на работу инвалидов</w:t>
      </w:r>
      <w:r w:rsidRPr="00BB11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958" w:rsidRDefault="005E1958" w:rsidP="00457EB2">
      <w:pPr>
        <w:widowControl/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A03572" w:rsidRDefault="00A03572" w:rsidP="00A03572">
      <w:pPr>
        <w:widowControl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F23D08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F23D08" w:rsidRDefault="00F23D08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5F93" w:rsidRPr="00674D1B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05F93" w:rsidRPr="00674D1B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 и повышение их занятости;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:rsidR="00F23D08" w:rsidRDefault="00A05F93" w:rsidP="00A05F93">
      <w:pPr>
        <w:widowControl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F23D08" w:rsidRDefault="00F23D08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05F93" w:rsidRDefault="00F23D08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3D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 лиц Минтруда Чувашии, осуществляющих региональный государственный контроль (надзор) за приемом на работу инвалидов в пределах установленной квоты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05F93" w:rsidRPr="00A05F93" w:rsidRDefault="00A05F93" w:rsidP="00F23D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FE0752" w:rsidRPr="00A03572" w:rsidRDefault="00FE0752" w:rsidP="00A03572">
      <w:pPr>
        <w:widowControl/>
        <w:shd w:val="clear" w:color="auto" w:fill="FFFFFF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sectPr w:rsidR="00FE0752" w:rsidRPr="00A03572">
          <w:headerReference w:type="default" r:id="rId12"/>
          <w:headerReference w:type="first" r:id="rId13"/>
          <w:pgSz w:w="11905" w:h="16837"/>
          <w:pgMar w:top="1134" w:right="567" w:bottom="1134" w:left="1418" w:header="1134" w:footer="720" w:gutter="0"/>
          <w:cols w:space="720"/>
          <w:titlePg/>
          <w:docGrid w:linePitch="360"/>
        </w:sectPr>
      </w:pPr>
    </w:p>
    <w:p w:rsidR="00AE4C01" w:rsidRDefault="00AE4C01" w:rsidP="00AE4C01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AE4C01" w:rsidRDefault="00AE4C01" w:rsidP="00A05F93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рофилактически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сроки (периодичность) их проведения</w:t>
      </w:r>
    </w:p>
    <w:p w:rsidR="00AE4C01" w:rsidRDefault="00AE4C01" w:rsidP="00AE4C0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36"/>
        <w:gridCol w:w="6379"/>
        <w:gridCol w:w="2551"/>
        <w:gridCol w:w="2126"/>
      </w:tblGrid>
      <w:tr w:rsidR="002B4129" w:rsidRPr="00AB20F1" w:rsidTr="00A05F93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142E08" w:rsidP="00AE4C01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2B4129"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2B4129"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2B4129" w:rsidRPr="00AB20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Сроки реализации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Pr="008C6703" w:rsidRDefault="002B4129" w:rsidP="00AE4C01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Ответственное структурное подразделение</w:t>
            </w:r>
            <w:r w:rsidR="00AE4C0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 (контактные данные)</w:t>
            </w:r>
          </w:p>
        </w:tc>
      </w:tr>
      <w:tr w:rsidR="002B4129" w:rsidRPr="00AB20F1" w:rsidTr="00A05F93">
        <w:trPr>
          <w:cantSplit/>
          <w:trHeight w:val="80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Официальный сайт </w:t>
            </w:r>
            <w:r w:rsidR="00BE042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Минтруда Чувашии</w:t>
            </w:r>
            <w:r w:rsidR="00BF13A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в</w:t>
            </w: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ыделенный раздел </w:t>
            </w:r>
            <w:r w:rsidR="00011EA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«Деятельность»/ «</w:t>
            </w:r>
            <w:r w:rsidR="00B0690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Контрольно-надзорная деятельность»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345E22" w:rsidRPr="00345E2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сведения о нормативных правовых актах</w:t>
            </w:r>
            <w:r w:rsidRPr="00345E2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регулирующи</w:t>
            </w:r>
            <w:r w:rsidR="00345E22" w:rsidRPr="00345E2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345E2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осуществление контроля (надзора);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45E2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880CA4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64E8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руководство по соблюдению обязательных требований, разработанных и утвержденных в соответствии с Федеральным зако</w:t>
            </w:r>
            <w:r w:rsidR="00BE042E" w:rsidRPr="00664E8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ном от 31 июля 2020 года № 247-</w:t>
            </w:r>
            <w:r w:rsidRPr="00664E8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ФЗ «Об обязательных требованиях в Российской Федерации»;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A05F93" w:rsidRPr="00E90C97" w:rsidRDefault="00A05F93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программы профилактики рисков причинения вреда и план проведения плановых контрольных (надзорных) мероприятий;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переч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сведений, которые могут запрашиваться у контролируемого лица;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порядке дос</w:t>
            </w:r>
            <w:r w:rsidR="005D69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удебного обжалования решений Минтруда Чувашии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действий (бездействия) его должностных лиц;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="005D69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содержащие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</w:t>
            </w:r>
            <w:r w:rsidR="005D69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Минтруда Чувашии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Pr="00E90C97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о государственном контроле (надзоре);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5D69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сведения, предусмотренные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нормативными правовыми актами Российской Федерации, нормативными правовыми актами </w:t>
            </w:r>
            <w:r w:rsidR="005D69C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Чувашской Республики</w:t>
            </w:r>
            <w:r w:rsidR="00E5152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Новостная лента: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 - аналитическая информация об исполнении квоты работодателями </w:t>
            </w:r>
          </w:p>
          <w:p w:rsidR="00A05F93" w:rsidRDefault="00A05F93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A05F93" w:rsidRPr="00AB20F1" w:rsidRDefault="00A05F93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оддержание информации в актуальном состоянии</w:t>
            </w: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BD6DE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 реже 1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CA38E8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Сектор</w:t>
            </w:r>
            <w:r w:rsidRPr="00CA38E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контрольно-ревизионной работы отдела правового обеспечения и контрольно-ревизионной работы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Минтруда Чувашии:</w:t>
            </w:r>
          </w:p>
          <w:p w:rsidR="0015675D" w:rsidRDefault="00CA38E8" w:rsidP="00CA38E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заведующий сектором Марфуткина С.И., </w:t>
            </w:r>
          </w:p>
          <w:p w:rsidR="00CA38E8" w:rsidRDefault="001F74B2" w:rsidP="00CA38E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тел. 26-13-58</w:t>
            </w:r>
          </w:p>
          <w:p w:rsidR="00CA38E8" w:rsidRDefault="00CA38E8" w:rsidP="00CA38E8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4129" w:rsidRPr="00AB20F1" w:rsidTr="00EC69A9">
        <w:trPr>
          <w:trHeight w:val="430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Размещение постов на о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фициальны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страниц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04F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Минтруда Чувашии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социальных сетях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аналитическая информация об исполнении квоты работодателями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- о наличии вакансий, заявленных работодателями в счет квот</w:t>
            </w:r>
            <w:r w:rsidR="006F70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ы для трудоустройства инвалидов.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E068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течение 10 рабочих дней </w:t>
            </w:r>
            <w:r w:rsidR="00AE4C0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после вступления в силу</w:t>
            </w: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1 раза в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квартал</w:t>
            </w:r>
          </w:p>
          <w:p w:rsidR="008F1E8D" w:rsidRDefault="008F1E8D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</w:t>
            </w:r>
            <w:r w:rsidR="002B6BC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  <w:r w:rsidR="002B6BC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90C97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 месяц</w:t>
            </w: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6F70BB" w:rsidRPr="008F1E8D" w:rsidRDefault="006F70BB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Pr="001E1075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Адресное информирование работодателей, в том числе 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азмещение 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личны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кабинет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ах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контролируемых лиц в государственных информационных системах (при их наличии),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направление на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электронн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6A724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почт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на мероприятиях (совещания, круглые столы, семинары)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текст нормативных правовых актов, регулирующих осуществление контроля (надзора);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памятки для работодателей, разработанные с учетом нормативных правовых актов субъекта </w:t>
            </w:r>
            <w:r w:rsidR="002F624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РФ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F1E8D" w:rsidRDefault="008F1E8D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аналитическая информация об исполнении квоты работодателями;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сведения об изменениях, внесенных в </w:t>
            </w:r>
            <w:r w:rsidRPr="00B947B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6D330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1 раза в </w:t>
            </w:r>
            <w:r w:rsidR="008F1E8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D3305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Pr="007B17ED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Публичные слушания</w:t>
            </w:r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совместно с Государственной</w:t>
            </w: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инспекци</w:t>
            </w:r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труда</w:t>
            </w:r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, учреждением </w:t>
            </w:r>
            <w:proofErr w:type="gramStart"/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экспертизы</w:t>
            </w:r>
            <w:r w:rsidR="00794379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общественными организациями инвалидов</w:t>
            </w:r>
            <w:r w:rsidR="00213CE1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для информирования работодателей о порядке установления и исполнения квот для приема 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1 раза в </w:t>
            </w:r>
            <w:r w:rsidR="005412A4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vMerge/>
            <w:tcBorders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63043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Рассмот</w:t>
            </w:r>
            <w:r w:rsidR="00630436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рение на трехсторонней комиссии </w:t>
            </w: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доклада о государственном контроле (надзоре)</w:t>
            </w:r>
            <w:r w:rsidR="0058112D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результата</w:t>
            </w:r>
            <w:r w:rsidR="00562118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58112D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реализации мероприятий по содействию трудоустройству инвалидов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реже 1 раза в </w:t>
            </w:r>
            <w:r w:rsidR="0058112D" w:rsidRPr="00C8473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C84733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right w:val="none" w:sz="4" w:space="0" w:color="000000"/>
            </w:tcBorders>
          </w:tcPr>
          <w:p w:rsidR="002B4129" w:rsidRPr="00AB20F1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B20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2B4129" w:rsidRPr="00AB20F1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72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BE4B8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Проведение консультаций в письменной форме, по телефону, посредством видео-конференц-связи, на личном приеме либо в ходе проведения профилактического или контрольного (надзорного) мероприятия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вопросам: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с</w:t>
            </w:r>
            <w:r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облюдение обязательных требований в части выполнения обязанности по созданию и (или) выделению рабочих мест в соответствии с установленной квотой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2F2CE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формирование локального нормативного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</w:p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е</w:t>
            </w:r>
            <w:r w:rsidRPr="00857A64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жемесячное представление предусмотренной законом отчетности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B4129" w:rsidRPr="00AB20F1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иные вопросы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личном обращении, </w:t>
            </w:r>
            <w:r w:rsidRPr="0051690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по телефону, в том числе на «горячую линию»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- 15 минут с момента соединения с оператором; обращение в социальных сетях – в течение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рабочего дня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после поступления обращения; при письменном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обращении – 30 дней с момента регистрации заявления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3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Подготовка</w:t>
            </w: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доклада о правоприменительной практике по результатам осуществления государственного контроля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(надзора)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     Направление контролируемым лицам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CE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на основе анализа исполнения </w:t>
            </w:r>
            <w:r w:rsidR="0079437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квот для приема инвалидов,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предостережений о недопустимости нарушения обязательных требований</w:t>
            </w:r>
            <w:r>
              <w:t xml:space="preserve"> </w:t>
            </w:r>
            <w:r w:rsidRPr="00B4749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части выполнения обязанности по созданию и (или) выделению рабочих мест в соответствии с установленной квотой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7B17ED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позднее 30 дней со дня появления оснований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129" w:rsidRPr="00AB20F1" w:rsidTr="00A05F93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6B324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B4129" w:rsidRDefault="002B4129" w:rsidP="00BE042E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ind w:left="36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профилактического визита:</w:t>
            </w:r>
          </w:p>
          <w:p w:rsidR="001107D7" w:rsidRDefault="001107D7" w:rsidP="00BE042E">
            <w:pPr>
              <w:ind w:left="36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5A4BF5" w:rsidRPr="00564A76" w:rsidRDefault="00564A76" w:rsidP="00564A76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564A7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обязательного в отношении </w:t>
            </w:r>
            <w:r w:rsidR="005A4BF5" w:rsidRPr="00564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работодателей, приступающих к осуществлению контролируемого вида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5A4BF5" w:rsidRPr="00564A76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5A4BF5" w:rsidRPr="005A4BF5" w:rsidRDefault="005A4BF5" w:rsidP="005A4BF5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Default="002B4129" w:rsidP="00BE042E">
            <w:pPr>
              <w:pStyle w:val="a3"/>
              <w:ind w:left="33" w:firstLine="284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5A4BF5" w:rsidRDefault="005A4BF5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51579" w:rsidRDefault="0085157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2. в отношении иных работодателей, которым установлена квота для приема на работу инвалидов</w:t>
            </w:r>
            <w:r w:rsidR="00564A7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51579" w:rsidRDefault="0085157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B47490" w:rsidRDefault="005A4BF5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B4129"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B4129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2B4129" w:rsidRPr="00F1447D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 инициативе контролируемого лица</w:t>
            </w:r>
            <w:r w:rsidR="00564A76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Default="002B412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1107D7" w:rsidRDefault="001107D7" w:rsidP="001107D7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5A4BF5" w:rsidRPr="005A4BF5" w:rsidRDefault="005A4BF5" w:rsidP="001107D7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5A4BF5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не позднее чем в течение одного года с даты начала такой деятельности</w:t>
            </w:r>
          </w:p>
          <w:p w:rsidR="00794379" w:rsidRDefault="00794379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851579" w:rsidRDefault="00851579" w:rsidP="00851579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 соответствии с установленным графиком</w:t>
            </w:r>
          </w:p>
          <w:p w:rsidR="005A4BF5" w:rsidRDefault="005A4BF5" w:rsidP="00BE042E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  <w:p w:rsidR="002B4129" w:rsidRPr="007B17ED" w:rsidRDefault="002B4129" w:rsidP="0062794C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58288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не позднее 30 дней со дня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обращения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контролируемого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29" w:rsidRPr="00690DBA" w:rsidRDefault="002B4129" w:rsidP="00BE042E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4129" w:rsidRDefault="002B4129" w:rsidP="002B412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8112D" w:rsidRDefault="0058112D" w:rsidP="00B114FB">
      <w:pPr>
        <w:widowControl/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BB54F9" w:rsidRPr="00BB54F9" w:rsidRDefault="00BB54F9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B54F9" w:rsidRPr="00BB54F9" w:rsidRDefault="00BB54F9" w:rsidP="00BB54F9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C3968" w:rsidRPr="00C71B25" w:rsidRDefault="007C3968" w:rsidP="00340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Минтруда Чувашии и его должностных лиц по региональному государственному контролю (надзору) в сфере квотирования рабочих мест для трудоустройства инвалидов осуществляется на основе системы показателей результативности и эффективности, в которые входят:</w:t>
      </w:r>
    </w:p>
    <w:p w:rsidR="007A7920" w:rsidRPr="00C71B25" w:rsidRDefault="007C3968" w:rsidP="003407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>1)</w:t>
      </w:r>
      <w:r w:rsidR="007A7920" w:rsidRPr="00C71B25">
        <w:rPr>
          <w:rFonts w:ascii="Times New Roman" w:hAnsi="Times New Roman" w:cs="Times New Roman"/>
          <w:sz w:val="28"/>
          <w:szCs w:val="28"/>
        </w:rPr>
        <w:t xml:space="preserve"> </w:t>
      </w:r>
      <w:r w:rsidR="007A7920" w:rsidRPr="00C71B25">
        <w:rPr>
          <w:rFonts w:ascii="Times New Roman" w:hAnsi="Times New Roman"/>
          <w:sz w:val="28"/>
          <w:szCs w:val="28"/>
        </w:rPr>
        <w:t>ключевой показатель результативности и эффективности регионального государственного контроля (надзора) (далее – ключевой показатель), которым является доля созданных (выделенных) рабочих мест для приема на работу инвалидов в пределах установленной квоты, на которые трудоустроены инвалиды. Целевое значение ключевого показателя – не менее 80 процентов в общем количестве квотируемых рабочих мест;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>2) перечень индикативных показателей результативности и эффективности регионального государственного контроля (надзора) (далее – индикативные показатели):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>количество обращений о нарушении работодателями обязательных требований в области квотирования рабочих мест;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проведенных плановых контрольных (надзорных) мероприятий;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(надзорных) мероприятий;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выданных предостережений о недопустимости нарушения обязательных требований;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поданных возражений в отношении выданных предостережений;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проведенных профилактических визитов;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принятых органами прокуратуры решений о согласовании проведения внепланового контрольного (надзорного) мероприятия;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выявленных нарушений обязательных требований;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поступивших возражений в отношении акта контрольного (надзорного) мероприятия;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выданных предписаний об устранении нарушений обязательных требований; </w:t>
      </w:r>
    </w:p>
    <w:p w:rsidR="007C3968" w:rsidRPr="00C71B25" w:rsidRDefault="007C3968" w:rsidP="007C39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25">
        <w:rPr>
          <w:rFonts w:ascii="Times New Roman" w:hAnsi="Times New Roman" w:cs="Times New Roman"/>
          <w:sz w:val="28"/>
          <w:szCs w:val="28"/>
        </w:rPr>
        <w:t xml:space="preserve">количество устраненных нарушений обязательных требований. </w:t>
      </w:r>
    </w:p>
    <w:p w:rsidR="00F452C9" w:rsidRDefault="007C3968" w:rsidP="00F4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B25">
        <w:rPr>
          <w:rFonts w:ascii="Times New Roman" w:hAnsi="Times New Roman" w:cs="Times New Roman"/>
          <w:sz w:val="28"/>
          <w:szCs w:val="28"/>
        </w:rPr>
        <w:t>Индикативные показатели используются при подготовке ежегодного доклада о государственном контроле (надзоре) за приемом на работу инвалидов в пределах установленной квоты, осуществляемой в соответствии с постановлением Правительства Российской Федерации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</w:t>
      </w:r>
      <w:r w:rsidR="00F452C9">
        <w:rPr>
          <w:rFonts w:ascii="Times New Roman" w:hAnsi="Times New Roman" w:cs="Times New Roman"/>
          <w:sz w:val="28"/>
          <w:szCs w:val="28"/>
        </w:rPr>
        <w:t>нтроле в Российской Федерации».</w:t>
      </w:r>
      <w:proofErr w:type="gramEnd"/>
    </w:p>
    <w:p w:rsidR="0078732D" w:rsidRPr="00F452C9" w:rsidRDefault="00AE4C01" w:rsidP="00F4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54F9" w:rsidRPr="00BB54F9">
        <w:rPr>
          <w:rFonts w:ascii="Times New Roman" w:hAnsi="Times New Roman"/>
          <w:sz w:val="28"/>
          <w:szCs w:val="28"/>
        </w:rPr>
        <w:t>асчет показателей результативности и эффективности программы профилактики осу</w:t>
      </w:r>
      <w:r w:rsidR="00BB0D6D">
        <w:rPr>
          <w:rFonts w:ascii="Times New Roman" w:hAnsi="Times New Roman"/>
          <w:sz w:val="28"/>
          <w:szCs w:val="28"/>
        </w:rPr>
        <w:t>ществляется в рамках подготовки д</w:t>
      </w:r>
      <w:r w:rsidR="00BB0D6D" w:rsidRPr="00BB0D6D">
        <w:rPr>
          <w:rFonts w:ascii="Times New Roman" w:hAnsi="Times New Roman"/>
          <w:sz w:val="28"/>
          <w:szCs w:val="28"/>
        </w:rPr>
        <w:t>оклад</w:t>
      </w:r>
      <w:r w:rsidR="00BB0D6D">
        <w:rPr>
          <w:rFonts w:ascii="Times New Roman" w:hAnsi="Times New Roman"/>
          <w:sz w:val="28"/>
          <w:szCs w:val="28"/>
        </w:rPr>
        <w:t>а</w:t>
      </w:r>
      <w:r w:rsidR="00BB0D6D" w:rsidRPr="00BB0D6D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 w:rsidR="00BB0D6D">
        <w:rPr>
          <w:rFonts w:ascii="Times New Roman" w:hAnsi="Times New Roman"/>
          <w:sz w:val="28"/>
          <w:szCs w:val="28"/>
        </w:rPr>
        <w:t>до 31 марта 2025</w:t>
      </w:r>
      <w:r w:rsidR="00BB54F9" w:rsidRPr="00BB54F9">
        <w:rPr>
          <w:rFonts w:ascii="Times New Roman" w:hAnsi="Times New Roman"/>
          <w:sz w:val="28"/>
          <w:szCs w:val="28"/>
        </w:rPr>
        <w:t xml:space="preserve"> года.</w:t>
      </w:r>
    </w:p>
    <w:sectPr w:rsidR="0078732D" w:rsidRPr="00F452C9">
      <w:headerReference w:type="even" r:id="rId14"/>
      <w:headerReference w:type="default" r:id="rId15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87" w:rsidRDefault="00DC6B87">
      <w:r>
        <w:separator/>
      </w:r>
    </w:p>
  </w:endnote>
  <w:endnote w:type="continuationSeparator" w:id="0">
    <w:p w:rsidR="00DC6B87" w:rsidRDefault="00DC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87" w:rsidRDefault="00DC6B87">
      <w:r>
        <w:separator/>
      </w:r>
    </w:p>
  </w:footnote>
  <w:footnote w:type="continuationSeparator" w:id="0">
    <w:p w:rsidR="00DC6B87" w:rsidRDefault="00DC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75E54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580264"/>
      <w:docPartObj>
        <w:docPartGallery w:val="Page Numbers (Top of Page)"/>
        <w:docPartUnique/>
      </w:docPartObj>
    </w:sdtPr>
    <w:sdtEndPr/>
    <w:sdtContent>
      <w:p w:rsidR="00AE4C01" w:rsidRDefault="00AE4C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E54">
          <w:rPr>
            <w:noProof/>
          </w:rPr>
          <w:t>1</w:t>
        </w:r>
        <w:r>
          <w:fldChar w:fldCharType="end"/>
        </w:r>
      </w:p>
    </w:sdtContent>
  </w:sdt>
  <w:p w:rsidR="00AE4C01" w:rsidRDefault="00AE4C0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D1343" w:rsidRDefault="004D134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343" w:rsidRDefault="00586FD1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475E54">
      <w:rPr>
        <w:rStyle w:val="aff1"/>
        <w:noProof/>
      </w:rPr>
      <w:t>14</w:t>
    </w:r>
    <w:r>
      <w:rPr>
        <w:rStyle w:val="aff1"/>
      </w:rPr>
      <w:fldChar w:fldCharType="end"/>
    </w:r>
  </w:p>
  <w:p w:rsidR="004D1343" w:rsidRDefault="004D13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5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6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43"/>
    <w:rsid w:val="00011EA3"/>
    <w:rsid w:val="00025B84"/>
    <w:rsid w:val="00042B90"/>
    <w:rsid w:val="0004378C"/>
    <w:rsid w:val="00056BEB"/>
    <w:rsid w:val="0009273B"/>
    <w:rsid w:val="000C7860"/>
    <w:rsid w:val="000D7280"/>
    <w:rsid w:val="000E6911"/>
    <w:rsid w:val="000F5881"/>
    <w:rsid w:val="000F5A7E"/>
    <w:rsid w:val="00107DEA"/>
    <w:rsid w:val="001107D7"/>
    <w:rsid w:val="00125526"/>
    <w:rsid w:val="00142E08"/>
    <w:rsid w:val="0015675D"/>
    <w:rsid w:val="00172344"/>
    <w:rsid w:val="001B6884"/>
    <w:rsid w:val="001C56D6"/>
    <w:rsid w:val="001F74B2"/>
    <w:rsid w:val="00213A63"/>
    <w:rsid w:val="00213CE1"/>
    <w:rsid w:val="002345E2"/>
    <w:rsid w:val="002449FC"/>
    <w:rsid w:val="00257B18"/>
    <w:rsid w:val="00270FD4"/>
    <w:rsid w:val="002B4129"/>
    <w:rsid w:val="002B5D76"/>
    <w:rsid w:val="002B60D5"/>
    <w:rsid w:val="002B6BCA"/>
    <w:rsid w:val="002C0355"/>
    <w:rsid w:val="002D40F4"/>
    <w:rsid w:val="002E6DFD"/>
    <w:rsid w:val="002F6243"/>
    <w:rsid w:val="003215F3"/>
    <w:rsid w:val="00323F38"/>
    <w:rsid w:val="003407C7"/>
    <w:rsid w:val="00345E22"/>
    <w:rsid w:val="00395A05"/>
    <w:rsid w:val="00395B8E"/>
    <w:rsid w:val="003F2CDE"/>
    <w:rsid w:val="0040371B"/>
    <w:rsid w:val="00453576"/>
    <w:rsid w:val="00457EB2"/>
    <w:rsid w:val="00460A14"/>
    <w:rsid w:val="00475E54"/>
    <w:rsid w:val="004B67CA"/>
    <w:rsid w:val="004C5943"/>
    <w:rsid w:val="004D1343"/>
    <w:rsid w:val="004F70CC"/>
    <w:rsid w:val="00536154"/>
    <w:rsid w:val="005412A4"/>
    <w:rsid w:val="00562118"/>
    <w:rsid w:val="00564A76"/>
    <w:rsid w:val="005710CD"/>
    <w:rsid w:val="00574C72"/>
    <w:rsid w:val="0058112D"/>
    <w:rsid w:val="00586FD1"/>
    <w:rsid w:val="005A4BF5"/>
    <w:rsid w:val="005D69CC"/>
    <w:rsid w:val="005E1958"/>
    <w:rsid w:val="005E6907"/>
    <w:rsid w:val="005F6AA4"/>
    <w:rsid w:val="00603D29"/>
    <w:rsid w:val="00605E2E"/>
    <w:rsid w:val="00614AA3"/>
    <w:rsid w:val="00621E01"/>
    <w:rsid w:val="0062794C"/>
    <w:rsid w:val="00630436"/>
    <w:rsid w:val="006545A3"/>
    <w:rsid w:val="00664E87"/>
    <w:rsid w:val="00674D1B"/>
    <w:rsid w:val="006B3262"/>
    <w:rsid w:val="006C69A0"/>
    <w:rsid w:val="006E365A"/>
    <w:rsid w:val="006F70BB"/>
    <w:rsid w:val="00711511"/>
    <w:rsid w:val="00740E61"/>
    <w:rsid w:val="007504F6"/>
    <w:rsid w:val="00772F15"/>
    <w:rsid w:val="00781188"/>
    <w:rsid w:val="0078732D"/>
    <w:rsid w:val="0078797C"/>
    <w:rsid w:val="00794379"/>
    <w:rsid w:val="007A7920"/>
    <w:rsid w:val="007C1650"/>
    <w:rsid w:val="007C3968"/>
    <w:rsid w:val="007F77F7"/>
    <w:rsid w:val="00833C3D"/>
    <w:rsid w:val="00847477"/>
    <w:rsid w:val="00851579"/>
    <w:rsid w:val="00855701"/>
    <w:rsid w:val="0087330E"/>
    <w:rsid w:val="00874CE6"/>
    <w:rsid w:val="00880CA4"/>
    <w:rsid w:val="008C35B3"/>
    <w:rsid w:val="008D23DD"/>
    <w:rsid w:val="008E7B52"/>
    <w:rsid w:val="008F1B8B"/>
    <w:rsid w:val="008F1E8D"/>
    <w:rsid w:val="008F1FCD"/>
    <w:rsid w:val="00966134"/>
    <w:rsid w:val="0097001F"/>
    <w:rsid w:val="00991D3C"/>
    <w:rsid w:val="009D228F"/>
    <w:rsid w:val="009D2646"/>
    <w:rsid w:val="009F104A"/>
    <w:rsid w:val="00A02FC7"/>
    <w:rsid w:val="00A03572"/>
    <w:rsid w:val="00A05F93"/>
    <w:rsid w:val="00A0769C"/>
    <w:rsid w:val="00A30D24"/>
    <w:rsid w:val="00A44E01"/>
    <w:rsid w:val="00A80DD4"/>
    <w:rsid w:val="00A823A5"/>
    <w:rsid w:val="00AB10E3"/>
    <w:rsid w:val="00AB20F1"/>
    <w:rsid w:val="00AC7882"/>
    <w:rsid w:val="00AD1EF4"/>
    <w:rsid w:val="00AE39C1"/>
    <w:rsid w:val="00AE4C01"/>
    <w:rsid w:val="00B0690B"/>
    <w:rsid w:val="00B114FB"/>
    <w:rsid w:val="00B20A7C"/>
    <w:rsid w:val="00B26ADF"/>
    <w:rsid w:val="00B53CF0"/>
    <w:rsid w:val="00B70DFC"/>
    <w:rsid w:val="00B73E58"/>
    <w:rsid w:val="00BB0D6D"/>
    <w:rsid w:val="00BB1101"/>
    <w:rsid w:val="00BB54F9"/>
    <w:rsid w:val="00BB56F7"/>
    <w:rsid w:val="00BC0FC3"/>
    <w:rsid w:val="00BD1763"/>
    <w:rsid w:val="00BD2A43"/>
    <w:rsid w:val="00BD6DEB"/>
    <w:rsid w:val="00BE042E"/>
    <w:rsid w:val="00BF13AF"/>
    <w:rsid w:val="00C51F8E"/>
    <w:rsid w:val="00C71B25"/>
    <w:rsid w:val="00C84733"/>
    <w:rsid w:val="00CA38E8"/>
    <w:rsid w:val="00CC0BD2"/>
    <w:rsid w:val="00CC67A1"/>
    <w:rsid w:val="00CD3FD7"/>
    <w:rsid w:val="00CF2A3D"/>
    <w:rsid w:val="00CF3490"/>
    <w:rsid w:val="00D01CA5"/>
    <w:rsid w:val="00D27EF3"/>
    <w:rsid w:val="00D61798"/>
    <w:rsid w:val="00D61873"/>
    <w:rsid w:val="00D63F58"/>
    <w:rsid w:val="00D73D7C"/>
    <w:rsid w:val="00D75FDB"/>
    <w:rsid w:val="00D91DB9"/>
    <w:rsid w:val="00DA2C82"/>
    <w:rsid w:val="00DA3695"/>
    <w:rsid w:val="00DC6B87"/>
    <w:rsid w:val="00DE4813"/>
    <w:rsid w:val="00E07CFA"/>
    <w:rsid w:val="00E5152C"/>
    <w:rsid w:val="00E54B04"/>
    <w:rsid w:val="00EC2130"/>
    <w:rsid w:val="00EC69A9"/>
    <w:rsid w:val="00ED17F5"/>
    <w:rsid w:val="00EE1BBF"/>
    <w:rsid w:val="00EE58C1"/>
    <w:rsid w:val="00EF6427"/>
    <w:rsid w:val="00F00D0F"/>
    <w:rsid w:val="00F16BCE"/>
    <w:rsid w:val="00F17384"/>
    <w:rsid w:val="00F23D08"/>
    <w:rsid w:val="00F452C9"/>
    <w:rsid w:val="00F5651E"/>
    <w:rsid w:val="00F6582A"/>
    <w:rsid w:val="00F65CBF"/>
    <w:rsid w:val="00F67BEC"/>
    <w:rsid w:val="00F877A4"/>
    <w:rsid w:val="00F90B7F"/>
    <w:rsid w:val="00F9176B"/>
    <w:rsid w:val="00F97006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paragraph" w:customStyle="1" w:styleId="ConsPlusNormal">
    <w:name w:val="ConsPlusNormal"/>
    <w:rsid w:val="00A0357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Символ нумерации"/>
  </w:style>
  <w:style w:type="paragraph" w:styleId="afb">
    <w:name w:val="Body Text"/>
    <w:basedOn w:val="a"/>
    <w:pPr>
      <w:spacing w:after="120"/>
    </w:pPr>
  </w:style>
  <w:style w:type="paragraph" w:customStyle="1" w:styleId="12">
    <w:name w:val="Название1"/>
    <w:next w:val="a7"/>
    <w:qFormat/>
  </w:style>
  <w:style w:type="paragraph" w:styleId="afc">
    <w:name w:val="List"/>
    <w:basedOn w:val="afb"/>
    <w:rPr>
      <w:rFonts w:cs="Tahoma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</w:style>
  <w:style w:type="paragraph" w:customStyle="1" w:styleId="ConsPlusNormal">
    <w:name w:val="ConsPlusNormal"/>
    <w:rsid w:val="00A03572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86BFCA659CC8DBC2A584442B9142AA555CF73991032EF266785C874994979B314FBA866A320A9AF3A933232F4AA0834DD73316D4FF98B1E9AC96l3u6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7086BFCA659CC8DBC2A59A493DFD1FA6525FA0379C022DA63D2707DA1E9D9DCC7600E3C3263800CEA2EC622D261BEFC618C43313C8lFu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86BFCA659CC8DBC2A59A493DFD1FA6525FAE3199022DA63D2707DA1E9D9DCC7600E3C6273E0E91A7F97375291CF4D919DA2F11CAFCl9u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8A22-5E11-4847-B21C-43303984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Светлана Исааковна Марфуткина</cp:lastModifiedBy>
  <cp:revision>178</cp:revision>
  <cp:lastPrinted>2023-08-17T07:20:00Z</cp:lastPrinted>
  <dcterms:created xsi:type="dcterms:W3CDTF">2023-09-26T05:40:00Z</dcterms:created>
  <dcterms:modified xsi:type="dcterms:W3CDTF">2023-09-28T14:58:00Z</dcterms:modified>
  <cp:version>1048576</cp:version>
</cp:coreProperties>
</file>