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Информация о</w:t>
      </w:r>
      <w:r>
        <w:rPr>
          <w:b/>
          <w:sz w:val="26"/>
          <w:szCs w:val="26"/>
        </w:rPr>
        <w:t xml:space="preserve"> конкурсном отборе социальных проектов </w:t>
        <w:br/>
        <w:t xml:space="preserve">в области охраны труда</w:t>
      </w:r>
      <w:r>
        <w:rPr>
          <w:b/>
          <w:sz w:val="26"/>
          <w:szCs w:val="26"/>
        </w:rPr>
      </w:r>
      <w:r>
        <w:rPr>
          <w:b/>
          <w:sz w:val="26"/>
          <w:szCs w:val="26"/>
        </w:rPr>
      </w:r>
    </w:p>
    <w:p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Министерство </w:t>
      </w:r>
      <w:r>
        <w:rPr>
          <w:sz w:val="26"/>
          <w:szCs w:val="26"/>
        </w:rPr>
        <w:t xml:space="preserve">труда и социальной защиты </w:t>
      </w:r>
      <w:r>
        <w:rPr>
          <w:sz w:val="26"/>
          <w:szCs w:val="26"/>
        </w:rPr>
        <w:t xml:space="preserve">Чувашской Республики объявл</w:t>
      </w:r>
      <w:r>
        <w:rPr>
          <w:sz w:val="26"/>
          <w:szCs w:val="26"/>
        </w:rPr>
        <w:t xml:space="preserve">я</w:t>
      </w:r>
      <w:r>
        <w:rPr>
          <w:sz w:val="26"/>
          <w:szCs w:val="26"/>
        </w:rPr>
        <w:t xml:space="preserve">ет о проведении конкурсного отбора социальных проектов в области охраны труда для предоставления субсидий из республиканского бюджета Чувашской Республ</w:t>
      </w:r>
      <w:r>
        <w:rPr>
          <w:sz w:val="26"/>
          <w:szCs w:val="26"/>
        </w:rPr>
        <w:t xml:space="preserve">и</w:t>
      </w:r>
      <w:r>
        <w:rPr>
          <w:sz w:val="26"/>
          <w:szCs w:val="26"/>
        </w:rPr>
        <w:t xml:space="preserve">ки некоммерческим организациям (далее – конкурс), </w:t>
      </w:r>
      <w:r>
        <w:rPr>
          <w:rFonts w:ascii="Times New Roman" w:hAnsi="Times New Roman" w:eastAsia="Times New Roman" w:cs="Times New Roman"/>
          <w:sz w:val="25"/>
          <w:szCs w:val="25"/>
          <w:highlight w:val="white"/>
        </w:rPr>
        <w:t xml:space="preserve">который проводится в соответствии с постановлением Кабинета Министров чувашской Республики </w:t>
      </w:r>
      <w:r>
        <w:rPr>
          <w:rFonts w:ascii="Times New Roman" w:hAnsi="Times New Roman" w:cs="Times New Roman"/>
          <w:sz w:val="25"/>
          <w:szCs w:val="25"/>
          <w:highlight w:val="white"/>
        </w:rPr>
        <w:t xml:space="preserve">от 11.06.2014 </w:t>
        <w:br/>
        <w:t xml:space="preserve">№ 198 </w:t>
      </w:r>
      <w:r>
        <w:rPr>
          <w:rFonts w:ascii="Times New Roman" w:hAnsi="Times New Roman" w:cs="Times New Roman"/>
          <w:sz w:val="25"/>
          <w:szCs w:val="25"/>
          <w:highlight w:val="white"/>
        </w:rPr>
        <w:t xml:space="preserve">(д</w:t>
      </w:r>
      <w:r>
        <w:rPr>
          <w:rFonts w:ascii="Times New Roman" w:hAnsi="Times New Roman" w:cs="Times New Roman"/>
          <w:sz w:val="25"/>
          <w:szCs w:val="25"/>
          <w:highlight w:val="white"/>
        </w:rPr>
        <w:t xml:space="preserve">а</w:t>
      </w:r>
      <w:r>
        <w:rPr>
          <w:rFonts w:ascii="Times New Roman" w:hAnsi="Times New Roman" w:cs="Times New Roman"/>
          <w:sz w:val="25"/>
          <w:szCs w:val="25"/>
          <w:highlight w:val="white"/>
        </w:rPr>
        <w:t xml:space="preserve">лее – постановление)</w:t>
      </w:r>
      <w:r>
        <w:rPr>
          <w:rFonts w:ascii="Times New Roman" w:hAnsi="Times New Roman" w:eastAsia="Times New Roman" w:cs="Times New Roman"/>
          <w:sz w:val="25"/>
          <w:szCs w:val="25"/>
          <w:highlight w:val="white"/>
        </w:rPr>
        <w:t xml:space="preserve">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20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</w:r>
      <w:r>
        <w:rPr>
          <w:b/>
          <w:sz w:val="26"/>
          <w:szCs w:val="26"/>
        </w:rPr>
      </w:r>
    </w:p>
    <w:p>
      <w:pPr>
        <w:ind w:firstLine="720"/>
        <w:jc w:val="both"/>
        <w:rPr>
          <w:b/>
          <w:bCs/>
          <w:sz w:val="26"/>
          <w:szCs w:val="26"/>
          <w:highlight w:val="none"/>
        </w:rPr>
      </w:pPr>
      <w:r>
        <w:rPr>
          <w:b/>
          <w:sz w:val="26"/>
          <w:szCs w:val="26"/>
        </w:rPr>
        <w:t xml:space="preserve">1. Требования к участникам конкурса:</w:t>
      </w:r>
      <w:r>
        <w:rPr>
          <w:b/>
          <w:bCs/>
          <w:sz w:val="26"/>
          <w:szCs w:val="26"/>
          <w:highlight w:val="none"/>
        </w:rPr>
      </w:r>
    </w:p>
    <w:p>
      <w:pPr>
        <w:ind w:firstLine="720"/>
        <w:jc w:val="both"/>
        <w:rPr>
          <w:sz w:val="26"/>
          <w:szCs w:val="26"/>
          <w14:ligatures w14:val="none"/>
        </w:rPr>
      </w:pPr>
      <w:r>
        <w:rPr>
          <w:sz w:val="26"/>
          <w:szCs w:val="26"/>
        </w:rPr>
        <w:t xml:space="preserve">К участию в конкурсе допускаются </w:t>
      </w:r>
      <w:r>
        <w:rPr>
          <w:b/>
          <w:bCs/>
          <w:sz w:val="26"/>
          <w:szCs w:val="26"/>
          <w:u w:val="none"/>
        </w:rPr>
        <w:t xml:space="preserve">некоммерческие организации, зарегистрированные на территории Чувашской Республики, занимающиеся в с</w:t>
      </w:r>
      <w:r>
        <w:rPr>
          <w:b/>
          <w:bCs/>
          <w:sz w:val="26"/>
          <w:szCs w:val="26"/>
          <w:u w:val="none"/>
        </w:rPr>
        <w:t xml:space="preserve">оответствии со своими учредительными документами деятельностью в области улучшения условий и охраны тру</w:t>
      </w:r>
      <w:r>
        <w:rPr>
          <w:b/>
          <w:bCs/>
          <w:sz w:val="26"/>
          <w:szCs w:val="26"/>
          <w:u w:val="none"/>
        </w:rPr>
        <w:t xml:space="preserve">да</w:t>
      </w:r>
      <w:r>
        <w:rPr>
          <w:sz w:val="26"/>
          <w:szCs w:val="26"/>
        </w:rPr>
        <w:t xml:space="preserve"> (далее - некоммерческая организация) </w:t>
        <w:br/>
        <w:t xml:space="preserve">и соответствующие следующим требованиям по состоянию на даты рассмотрения заявки на участие в конкурсе (далее - з</w:t>
      </w:r>
      <w:r>
        <w:rPr>
          <w:sz w:val="26"/>
          <w:szCs w:val="26"/>
        </w:rPr>
        <w:t xml:space="preserve">аявка) и заключения договора (соглашения) о предоставлении субсидии из республиканского бюджета Чувашской Республики на финансовое обеспечение затрат некоммерческих организаций, победивших </w:t>
        <w:br/>
        <w:t xml:space="preserve">в конкурсе (далее соответственно - договор (соглашение), субсидия):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20"/>
        <w:jc w:val="both"/>
        <w:rPr>
          <w:sz w:val="26"/>
          <w:szCs w:val="26"/>
          <w14:ligatures w14:val="none"/>
        </w:rPr>
      </w:pPr>
      <w:r>
        <w:rPr>
          <w:sz w:val="26"/>
          <w:szCs w:val="26"/>
        </w:rPr>
        <w:t xml:space="preserve">государственная регистрация в качестве юридического лица в соответствии с законодательством Российской Федерации и осуществление деятельности на территории Чувашской Республики не менее одного календарного года;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20"/>
        <w:jc w:val="both"/>
        <w:rPr>
          <w:sz w:val="26"/>
          <w:szCs w:val="26"/>
          <w14:ligatures w14:val="none"/>
        </w:rPr>
      </w:pPr>
      <w:r>
        <w:rPr>
          <w:sz w:val="26"/>
          <w:szCs w:val="26"/>
        </w:rPr>
        <w:t xml:space="preserve">софинансирование из внебюджетных источников расходов на реализацию представленного некоммерческой организацией на конкурс проекта в размере не менее 20 процентов от общей суммы финансирования проекта;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20"/>
        <w:jc w:val="both"/>
        <w:rPr>
          <w:sz w:val="26"/>
          <w:szCs w:val="26"/>
          <w14:ligatures w14:val="none"/>
        </w:rPr>
      </w:pPr>
      <w:r>
        <w:rPr>
          <w:sz w:val="26"/>
          <w:szCs w:val="26"/>
        </w:rPr>
      </w:r>
      <w:bookmarkStart w:id="0" w:name="undefined"/>
      <w:r>
        <w:rPr>
          <w:sz w:val="26"/>
          <w:szCs w:val="26"/>
        </w:rPr>
      </w:r>
      <w:bookmarkEnd w:id="0"/>
      <w:r>
        <w:rPr>
          <w:sz w:val="26"/>
          <w:szCs w:val="26"/>
        </w:rPr>
        <w:t xml:space="preserve">отсутствие просроченной задолженности по возврату в республиканский бюджет Чувашской Республики иных субсидий, бюджетных инвестиций, а также иной просроченной (неурегулированной) задолженности по денежным обязательствам перед Чувашской Республикой;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20"/>
        <w:jc w:val="both"/>
        <w:rPr>
          <w:sz w:val="26"/>
          <w:szCs w:val="26"/>
          <w14:ligatures w14:val="none"/>
        </w:rPr>
      </w:pPr>
      <w:r>
        <w:rPr>
          <w:sz w:val="26"/>
          <w:szCs w:val="26"/>
        </w:rPr>
      </w:r>
      <w:bookmarkStart w:id="0" w:name="undefined"/>
      <w:r>
        <w:rPr>
          <w:sz w:val="26"/>
          <w:szCs w:val="26"/>
        </w:rPr>
      </w:r>
      <w:bookmarkEnd w:id="0"/>
      <w:r>
        <w:rPr>
          <w:sz w:val="26"/>
          <w:szCs w:val="26"/>
        </w:rPr>
        <w:t xml:space="preserve">отсутствие на едином налоговом счете или непревышение размера, определенного </w:t>
      </w:r>
      <w:r>
        <w:rPr>
          <w:sz w:val="26"/>
          <w:szCs w:val="26"/>
        </w:rPr>
        <w:t xml:space="preserve">пунктом 3 статьи 47</w:t>
      </w:r>
      <w:r>
        <w:rPr>
          <w:sz w:val="26"/>
          <w:szCs w:val="26"/>
        </w:rPr>
        <w:t xml:space="preserve"> Налогового кодекса Российской Федерации, задолженности по уплате налогов, сборов и страховых взносов в бюджеты бюджетной системы Российской Федерации;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20"/>
        <w:jc w:val="both"/>
        <w:rPr>
          <w:sz w:val="26"/>
          <w:szCs w:val="26"/>
          <w14:ligatures w14:val="none"/>
        </w:rPr>
      </w:pPr>
      <w:r>
        <w:rPr>
          <w:sz w:val="26"/>
          <w:szCs w:val="26"/>
        </w:rPr>
        <w:t xml:space="preserve">отсутствие в составе учредителей некоммерческой организации политической партии;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20"/>
        <w:jc w:val="both"/>
        <w:rPr>
          <w:sz w:val="26"/>
          <w:szCs w:val="26"/>
          <w14:ligatures w14:val="none"/>
        </w:rPr>
      </w:pPr>
      <w:r>
        <w:rPr>
          <w:sz w:val="26"/>
          <w:szCs w:val="26"/>
        </w:rPr>
        <w:t xml:space="preserve">отсутствие фактов передачи некоммерческой организацией пожертвований политической партии или ее региональному отделению;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20"/>
        <w:jc w:val="both"/>
        <w:rPr>
          <w:sz w:val="26"/>
          <w:szCs w:val="26"/>
          <w14:ligatures w14:val="none"/>
        </w:rPr>
      </w:pPr>
      <w:r>
        <w:rPr>
          <w:sz w:val="26"/>
          <w:szCs w:val="26"/>
        </w:rPr>
      </w:r>
      <w:bookmarkStart w:id="0" w:name="undefined"/>
      <w:r>
        <w:rPr>
          <w:sz w:val="26"/>
          <w:szCs w:val="26"/>
        </w:rPr>
      </w:r>
      <w:bookmarkEnd w:id="0"/>
      <w:r>
        <w:rPr>
          <w:sz w:val="26"/>
          <w:szCs w:val="26"/>
        </w:rPr>
        <w:t xml:space="preserve">некоммерческие организации не должны получать средства из республиканского бюджета Чувашской Республики на основании иных нормативных правовых актов Чувашской Республики на цели, указанные в </w:t>
      </w:r>
      <w:hyperlink w:tooltip="1.3. Целями конкурса являются:" w:anchor="P54" w:history="1">
        <w:r>
          <w:rPr>
            <w:sz w:val="26"/>
            <w:szCs w:val="26"/>
          </w:rPr>
          <w:t xml:space="preserve">пункте 1.3</w:t>
        </w:r>
      </w:hyperlink>
      <w:r>
        <w:rPr>
          <w:sz w:val="26"/>
          <w:szCs w:val="26"/>
        </w:rPr>
        <w:t xml:space="preserve"> постановления;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20"/>
        <w:jc w:val="both"/>
        <w:rPr>
          <w:sz w:val="26"/>
          <w:szCs w:val="26"/>
          <w14:ligatures w14:val="none"/>
        </w:rPr>
      </w:pPr>
      <w:r>
        <w:rPr>
          <w:sz w:val="26"/>
          <w:szCs w:val="26"/>
        </w:rPr>
        <w:t xml:space="preserve">в реестре </w:t>
      </w:r>
      <w:r>
        <w:rPr>
          <w:sz w:val="26"/>
          <w:szCs w:val="26"/>
        </w:rPr>
        <w:t xml:space="preserve">дисквалифицированных лиц отсутствуют сведения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(при наличии) некоммерческой организации;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20"/>
        <w:jc w:val="both"/>
        <w:rPr>
          <w:sz w:val="26"/>
          <w:szCs w:val="26"/>
          <w14:ligatures w14:val="none"/>
        </w:rPr>
      </w:pPr>
      <w:r>
        <w:rPr>
          <w:sz w:val="26"/>
          <w:szCs w:val="26"/>
        </w:rPr>
        <w:t xml:space="preserve">некоммерческие организации не должны являться иностранными юридическими лицами, в том числе ме</w:t>
      </w:r>
      <w:r>
        <w:rPr>
          <w:sz w:val="26"/>
          <w:szCs w:val="26"/>
        </w:rPr>
        <w:t xml:space="preserve">стом регистрации которых является государство или территория, включенные в утвержденный Министерством финансов Российской Федерации перечень государств и территорий, используемых для промежуточного (офшорного) владения активами в Российской Федерации (дале</w:t>
      </w:r>
      <w:r>
        <w:rPr>
          <w:sz w:val="26"/>
          <w:szCs w:val="26"/>
        </w:rPr>
        <w:t xml:space="preserve">е - офшорные компании), а также российскими юридическими лицами, в уставном (складочном) капитале которых доля прямого или косвенного (через третьих лиц) участия офшорных компаний в совокупности превышает 25 процентов (если иное не предусмотрено законодате</w:t>
      </w:r>
      <w:r>
        <w:rPr>
          <w:sz w:val="26"/>
          <w:szCs w:val="26"/>
        </w:rPr>
        <w:t xml:space="preserve">льством Российской Федерации). При расчете доли участия офшорных компаний в капитале российских юридических лиц не учитывается прямое и (или) косвенное участие офшорных компаний в капитале публичных акционерных обществ (в том числе со статусом международно</w:t>
      </w:r>
      <w:r>
        <w:rPr>
          <w:sz w:val="26"/>
          <w:szCs w:val="26"/>
        </w:rPr>
        <w:t xml:space="preserve">й компании), акции которых обращаются на организованных торгах в Российской Федерации, а также косвенное участие офшорных компаний в капитале других российских юридических лиц, реализованное через участие в капитале указанных публичных акционерных обществ;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20"/>
        <w:jc w:val="both"/>
        <w:rPr>
          <w:sz w:val="26"/>
          <w:szCs w:val="26"/>
          <w14:ligatures w14:val="none"/>
        </w:rPr>
      </w:pPr>
      <w:r>
        <w:rPr>
          <w:sz w:val="26"/>
          <w:szCs w:val="26"/>
        </w:rPr>
        <w:t xml:space="preserve">некоммерческие организации не должны находиться в перечне организаций и физических лиц, в отношении которых имеются сведения об их причастности к экстремистской деятельности или терроризму;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20"/>
        <w:jc w:val="both"/>
        <w:rPr>
          <w:sz w:val="26"/>
          <w:szCs w:val="26"/>
          <w14:ligatures w14:val="none"/>
        </w:rPr>
      </w:pPr>
      <w:r>
        <w:rPr>
          <w:sz w:val="26"/>
          <w:szCs w:val="26"/>
        </w:rPr>
        <w:t xml:space="preserve">некоммерческие организации не должны находиться в составляемых в рамках реализации полномочий, предусмотренных </w:t>
      </w:r>
      <w:r>
        <w:rPr>
          <w:sz w:val="26"/>
          <w:szCs w:val="26"/>
        </w:rPr>
        <w:t xml:space="preserve">главой VII</w:t>
      </w:r>
      <w:r>
        <w:rPr>
          <w:sz w:val="26"/>
          <w:szCs w:val="26"/>
        </w:rPr>
        <w:t xml:space="preserve"> Ус</w:t>
      </w:r>
      <w:r>
        <w:rPr>
          <w:sz w:val="26"/>
          <w:szCs w:val="26"/>
        </w:rPr>
        <w:t xml:space="preserve">тава ООН, Советом Безопасности ООН или органами, специально созданными решениями Совета Безопасности ООН, перечнях организаций и физических лиц, связанных с террористическими организациями и террористами или с распространением оружия массового уничтожения;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20"/>
        <w:jc w:val="both"/>
        <w:rPr>
          <w:sz w:val="26"/>
          <w:szCs w:val="26"/>
          <w14:ligatures w14:val="none"/>
        </w:rPr>
      </w:pPr>
      <w:r>
        <w:rPr>
          <w:sz w:val="26"/>
          <w:szCs w:val="26"/>
        </w:rPr>
      </w:r>
      <w:bookmarkStart w:id="0" w:name="undefined"/>
      <w:r>
        <w:rPr>
          <w:sz w:val="26"/>
          <w:szCs w:val="26"/>
        </w:rPr>
      </w:r>
      <w:bookmarkEnd w:id="0"/>
      <w:r>
        <w:rPr>
          <w:sz w:val="26"/>
          <w:szCs w:val="26"/>
        </w:rPr>
        <w:t xml:space="preserve">некоммерческие организации не должны являться иностранными агентами в соответствии с Федеральным </w:t>
      </w:r>
      <w:r>
        <w:rPr>
          <w:sz w:val="26"/>
          <w:szCs w:val="26"/>
        </w:rPr>
        <w:t xml:space="preserve">законом</w:t>
      </w:r>
      <w:r>
        <w:rPr>
          <w:sz w:val="26"/>
          <w:szCs w:val="26"/>
        </w:rPr>
        <w:t xml:space="preserve"> «О контроле за деятельностью лиц, находящихся под иностранным влиянием».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20"/>
        <w:jc w:val="both"/>
        <w:rPr>
          <w:b/>
          <w:bCs/>
          <w:sz w:val="26"/>
          <w:szCs w:val="26"/>
          <w:u w:val="single"/>
          <w14:ligatures w14:val="none"/>
        </w:rPr>
      </w:pPr>
      <w:r>
        <w:rPr>
          <w:b/>
          <w:bCs/>
          <w:sz w:val="26"/>
          <w:szCs w:val="26"/>
          <w:u w:val="single"/>
        </w:rPr>
        <w:t xml:space="preserve">Участниками конкурса не могут быть:</w:t>
      </w:r>
      <w:r>
        <w:rPr>
          <w:b/>
          <w:bCs/>
          <w:sz w:val="26"/>
          <w:szCs w:val="26"/>
          <w:u w:val="single"/>
        </w:rPr>
      </w:r>
      <w:r>
        <w:rPr>
          <w:b/>
          <w:bCs/>
          <w:sz w:val="26"/>
          <w:szCs w:val="26"/>
          <w:u w:val="single"/>
        </w:rPr>
      </w:r>
    </w:p>
    <w:p>
      <w:pPr>
        <w:ind w:firstLine="720"/>
        <w:jc w:val="both"/>
        <w:rPr>
          <w:sz w:val="26"/>
          <w:szCs w:val="26"/>
          <w14:ligatures w14:val="none"/>
        </w:rPr>
      </w:pPr>
      <w:r>
        <w:rPr>
          <w:sz w:val="26"/>
          <w:szCs w:val="26"/>
        </w:rPr>
        <w:t xml:space="preserve">общественные объединения, являющиеся политическими партиями;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20"/>
        <w:jc w:val="both"/>
        <w:rPr>
          <w:sz w:val="26"/>
          <w:szCs w:val="26"/>
          <w14:ligatures w14:val="none"/>
        </w:rPr>
      </w:pPr>
      <w:r>
        <w:rPr>
          <w:sz w:val="26"/>
          <w:szCs w:val="26"/>
        </w:rPr>
        <w:t xml:space="preserve">государственные учреждения Чувашской Республики;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20"/>
        <w:jc w:val="both"/>
        <w:rPr>
          <w:sz w:val="26"/>
          <w:szCs w:val="26"/>
          <w14:ligatures w14:val="none"/>
        </w:rPr>
      </w:pPr>
      <w:r>
        <w:rPr>
          <w:sz w:val="26"/>
          <w:szCs w:val="26"/>
        </w:rPr>
        <w:t xml:space="preserve">муниципальные учреждения;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20"/>
        <w:jc w:val="both"/>
        <w:rPr>
          <w:sz w:val="26"/>
          <w:szCs w:val="26"/>
          <w14:ligatures w14:val="none"/>
        </w:rPr>
      </w:pPr>
      <w:r>
        <w:rPr>
          <w:sz w:val="26"/>
          <w:szCs w:val="26"/>
        </w:rPr>
        <w:t xml:space="preserve">общественные объединения, не зарегистрированные в установленном порядке в качестве юридического лица.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20"/>
        <w:jc w:val="both"/>
        <w:rPr>
          <w:sz w:val="26"/>
          <w:szCs w:val="26"/>
          <w14:ligatures w14:val="none"/>
        </w:rPr>
      </w:pPr>
      <w:r>
        <w:rPr>
          <w:sz w:val="26"/>
          <w:szCs w:val="26"/>
        </w:rPr>
      </w:r>
      <w:bookmarkStart w:id="0" w:name="undefined"/>
      <w:r>
        <w:rPr>
          <w:sz w:val="26"/>
          <w:szCs w:val="26"/>
        </w:rPr>
      </w:r>
      <w:bookmarkEnd w:id="0"/>
      <w:r>
        <w:rPr>
          <w:sz w:val="26"/>
          <w:szCs w:val="26"/>
        </w:rPr>
        <w:t xml:space="preserve">Не допускаются к участию в конкурсе некоммерческие организации, находящиеся в процессе реорганизации (за исключением реорганизации в форме присо</w:t>
      </w:r>
      <w:r>
        <w:rPr>
          <w:sz w:val="26"/>
          <w:szCs w:val="26"/>
        </w:rPr>
        <w:t xml:space="preserve">единения к юридическому лицу, являющемуся участником конкурса, другого юридического лица), ликвидации, в отношении которых введена процедура банкротства, деятельность которых приостановлена в порядке, предусмотренном законодательством Российской Федерации.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20"/>
        <w:jc w:val="both"/>
        <w:rPr>
          <w:b/>
          <w:bCs/>
          <w:color w:val="000000"/>
          <w:sz w:val="26"/>
          <w:szCs w:val="26"/>
        </w:rPr>
      </w:pPr>
      <w:r>
        <w:rPr>
          <w:b/>
          <w:bCs/>
          <w:color w:val="000000"/>
          <w:sz w:val="26"/>
          <w:szCs w:val="26"/>
        </w:rPr>
        <w:t xml:space="preserve">Некоммерческая организация имеет право представить на конкурс только один проект. Повторное участие ранее представленного проекта в конкурсе не д</w:t>
      </w:r>
      <w:r>
        <w:rPr>
          <w:b/>
          <w:bCs/>
          <w:color w:val="000000"/>
          <w:sz w:val="26"/>
          <w:szCs w:val="26"/>
        </w:rPr>
        <w:t xml:space="preserve">о</w:t>
      </w:r>
      <w:r>
        <w:rPr>
          <w:b/>
          <w:bCs/>
          <w:color w:val="000000"/>
          <w:sz w:val="26"/>
          <w:szCs w:val="26"/>
        </w:rPr>
        <w:t xml:space="preserve">пускается.</w:t>
      </w:r>
      <w:r>
        <w:rPr>
          <w:b/>
          <w:bCs/>
          <w:color w:val="000000"/>
          <w:sz w:val="26"/>
          <w:szCs w:val="26"/>
        </w:rPr>
      </w:r>
    </w:p>
    <w:p>
      <w:pPr>
        <w:ind w:firstLine="720"/>
        <w:jc w:val="both"/>
        <w:rPr>
          <w:b/>
          <w:color w:val="000000"/>
          <w:sz w:val="26"/>
          <w:szCs w:val="26"/>
        </w:rPr>
      </w:pPr>
      <w:r>
        <w:rPr>
          <w:b/>
          <w:color w:val="000000"/>
          <w:sz w:val="26"/>
          <w:szCs w:val="26"/>
        </w:rPr>
      </w:r>
      <w:r>
        <w:rPr>
          <w:b/>
          <w:color w:val="000000"/>
          <w:sz w:val="26"/>
          <w:szCs w:val="26"/>
        </w:rPr>
      </w:r>
    </w:p>
    <w:p>
      <w:pPr>
        <w:ind w:firstLine="720"/>
        <w:jc w:val="both"/>
        <w:rPr>
          <w:b/>
          <w:bCs/>
          <w:color w:val="000000"/>
          <w:sz w:val="26"/>
          <w:szCs w:val="26"/>
          <w14:ligatures w14:val="none"/>
        </w:rPr>
      </w:pPr>
      <w:r>
        <w:rPr>
          <w:b/>
          <w:color w:val="000000"/>
          <w:sz w:val="26"/>
          <w:szCs w:val="26"/>
        </w:rPr>
        <w:t xml:space="preserve">2.</w:t>
      </w:r>
      <w:r>
        <w:rPr>
          <w:color w:val="000000"/>
          <w:sz w:val="26"/>
          <w:szCs w:val="26"/>
        </w:rPr>
        <w:t xml:space="preserve"> </w:t>
      </w:r>
      <w:r>
        <w:rPr>
          <w:b/>
          <w:bCs/>
          <w:color w:val="000000"/>
          <w:sz w:val="26"/>
          <w:szCs w:val="26"/>
        </w:rPr>
      </w:r>
      <w:bookmarkStart w:id="0" w:name="undefined"/>
      <w:r>
        <w:rPr>
          <w:b/>
          <w:bCs/>
          <w:color w:val="000000"/>
          <w:sz w:val="26"/>
          <w:szCs w:val="26"/>
        </w:rPr>
      </w:r>
      <w:bookmarkEnd w:id="0"/>
      <w:r>
        <w:rPr>
          <w:b/>
          <w:bCs/>
          <w:color w:val="000000"/>
          <w:sz w:val="26"/>
          <w:szCs w:val="26"/>
        </w:rPr>
        <w:t xml:space="preserve">Задачами конкурса являются выявление и поддержка наиболее значимых проектов по следующим направлениям:</w:t>
      </w:r>
      <w:r>
        <w:rPr>
          <w:b/>
          <w:bCs/>
          <w:color w:val="000000"/>
          <w:sz w:val="26"/>
          <w:szCs w:val="26"/>
        </w:rPr>
      </w:r>
      <w:r>
        <w:rPr>
          <w:b/>
          <w:bCs/>
          <w:color w:val="000000"/>
          <w:sz w:val="26"/>
          <w:szCs w:val="26"/>
        </w:rPr>
      </w:r>
    </w:p>
    <w:p>
      <w:pPr>
        <w:ind w:firstLine="720"/>
        <w:jc w:val="both"/>
        <w:rPr>
          <w:sz w:val="26"/>
          <w:szCs w:val="26"/>
          <w14:ligatures w14:val="none"/>
        </w:rPr>
      </w:pPr>
      <w:r>
        <w:rPr>
          <w:sz w:val="26"/>
          <w:szCs w:val="26"/>
        </w:rPr>
        <w:t xml:space="preserve">профилактика производственного травматизма и профессиональной заболеваемости;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20"/>
        <w:jc w:val="both"/>
        <w:rPr>
          <w:sz w:val="26"/>
          <w:szCs w:val="26"/>
          <w14:ligatures w14:val="none"/>
        </w:rPr>
      </w:pPr>
      <w:r>
        <w:rPr>
          <w:sz w:val="26"/>
          <w:szCs w:val="26"/>
        </w:rPr>
        <w:t xml:space="preserve">обучение по охране труда работников субъектов малого предпринимательства и организаций бюджетной сферы;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20"/>
        <w:jc w:val="both"/>
        <w:rPr>
          <w:sz w:val="26"/>
          <w:szCs w:val="26"/>
          <w14:ligatures w14:val="none"/>
        </w:rPr>
      </w:pPr>
      <w:r>
        <w:rPr>
          <w:sz w:val="26"/>
          <w:szCs w:val="26"/>
        </w:rPr>
        <w:t xml:space="preserve">социальная реклама в области охраны труда;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20"/>
        <w:jc w:val="both"/>
        <w:rPr>
          <w:sz w:val="26"/>
          <w:szCs w:val="26"/>
          <w14:ligatures w14:val="none"/>
        </w:rPr>
      </w:pPr>
      <w:r>
        <w:rPr>
          <w:sz w:val="26"/>
          <w:szCs w:val="26"/>
        </w:rPr>
        <w:t xml:space="preserve">содействие развитию воспитания, дополнительного профессионального образования, профессиональной переподготовки, научно-технического и художественного творчества, деятельности молодежи в области улучшения условий и охраны труда;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20"/>
        <w:jc w:val="both"/>
        <w:rPr>
          <w:sz w:val="26"/>
          <w:szCs w:val="26"/>
          <w14:ligatures w14:val="none"/>
        </w:rPr>
      </w:pPr>
      <w:r>
        <w:rPr>
          <w:sz w:val="26"/>
          <w:szCs w:val="26"/>
        </w:rPr>
        <w:t xml:space="preserve">развитие межрегионального сотрудничества в области охраны труда;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20"/>
        <w:jc w:val="both"/>
        <w:rPr>
          <w:sz w:val="26"/>
          <w:szCs w:val="26"/>
          <w14:ligatures w14:val="none"/>
        </w:rPr>
      </w:pPr>
      <w:r>
        <w:rPr>
          <w:sz w:val="26"/>
          <w:szCs w:val="26"/>
        </w:rPr>
        <w:t xml:space="preserve">изучение, распространение и пропаганда передового опыта в области улучшения условий и охраны труда;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20"/>
        <w:jc w:val="both"/>
        <w:rPr>
          <w:sz w:val="26"/>
          <w:szCs w:val="26"/>
          <w14:ligatures w14:val="none"/>
        </w:rPr>
      </w:pPr>
      <w:r>
        <w:rPr>
          <w:sz w:val="26"/>
          <w:szCs w:val="26"/>
        </w:rPr>
        <w:t xml:space="preserve">консультирование населения по вопросам охраны труда;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20"/>
        <w:jc w:val="both"/>
        <w:rPr>
          <w:sz w:val="26"/>
          <w:szCs w:val="26"/>
          <w14:ligatures w14:val="none"/>
        </w:rPr>
      </w:pPr>
      <w:r>
        <w:rPr>
          <w:sz w:val="26"/>
          <w:szCs w:val="26"/>
        </w:rPr>
        <w:t xml:space="preserve">развитие информационных и креативных технологий в области охраны труда.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20"/>
        <w:jc w:val="both"/>
        <w:rPr>
          <w:b/>
          <w:bCs/>
          <w:color w:val="000000"/>
          <w:sz w:val="26"/>
          <w:szCs w:val="26"/>
        </w:rPr>
      </w:pPr>
      <w:r>
        <w:rPr>
          <w:b/>
          <w:bCs/>
          <w:color w:val="000000"/>
          <w:sz w:val="26"/>
          <w:szCs w:val="26"/>
        </w:rPr>
      </w:r>
      <w:r>
        <w:rPr>
          <w:b/>
          <w:bCs/>
          <w:color w:val="000000"/>
          <w:sz w:val="26"/>
          <w:szCs w:val="26"/>
        </w:rPr>
      </w:r>
    </w:p>
    <w:p>
      <w:pPr>
        <w:ind w:firstLine="720"/>
        <w:jc w:val="both"/>
        <w:rPr>
          <w:sz w:val="26"/>
          <w:szCs w:val="26"/>
          <w14:ligatures w14:val="none"/>
        </w:rPr>
      </w:pPr>
      <w:r>
        <w:rPr>
          <w:b/>
          <w:bCs/>
          <w:sz w:val="26"/>
          <w:szCs w:val="26"/>
        </w:rPr>
        <w:t xml:space="preserve">3. </w:t>
      </w:r>
      <w:r>
        <w:rPr>
          <w:b/>
          <w:bCs/>
          <w:sz w:val="26"/>
          <w:szCs w:val="26"/>
        </w:rPr>
      </w:r>
      <w:bookmarkStart w:id="0" w:name="undefined"/>
      <w:r>
        <w:rPr>
          <w:b/>
          <w:bCs/>
          <w:sz w:val="26"/>
          <w:szCs w:val="26"/>
        </w:rPr>
      </w:r>
      <w:bookmarkEnd w:id="0"/>
      <w:r>
        <w:rPr>
          <w:sz w:val="26"/>
          <w:szCs w:val="26"/>
        </w:rPr>
        <w:t xml:space="preserve">Участники конкурса формируют заявки </w:t>
      </w:r>
      <w:r>
        <w:rPr>
          <w:b/>
          <w:bCs/>
          <w:sz w:val="26"/>
          <w:szCs w:val="26"/>
        </w:rPr>
        <w:t xml:space="preserve">в электронной форме </w:t>
        <w:br/>
        <w:t xml:space="preserve">в течение 30 календарных дней с даты начала подачи заявок,</w:t>
      </w:r>
      <w:r>
        <w:rPr>
          <w:sz w:val="26"/>
          <w:szCs w:val="26"/>
        </w:rPr>
        <w:t xml:space="preserve"> </w:t>
        <w:br/>
        <w:t xml:space="preserve">указанной в объявлении, посредством запол</w:t>
      </w:r>
      <w:r>
        <w:rPr>
          <w:sz w:val="26"/>
          <w:szCs w:val="26"/>
        </w:rPr>
        <w:t xml:space="preserve">нения соответствующих экранных форм веб-интерфейса системы «Электронный бюджет» и представления в систему «Электронный бюджет» электронных копий следующих документов (документов на бумажном носителе, преобразованных в электронную форму путем сканирования):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20"/>
        <w:jc w:val="both"/>
        <w:rPr>
          <w:b/>
          <w:bCs/>
          <w:sz w:val="26"/>
          <w:szCs w:val="26"/>
          <w14:ligatures w14:val="none"/>
        </w:rPr>
      </w:pPr>
      <w:r>
        <w:rPr>
          <w:b/>
          <w:bCs/>
          <w:sz w:val="26"/>
          <w:szCs w:val="26"/>
        </w:rPr>
      </w:r>
      <w:bookmarkStart w:id="0" w:name="undefined"/>
      <w:r>
        <w:rPr>
          <w:b/>
          <w:bCs/>
          <w:sz w:val="26"/>
          <w:szCs w:val="26"/>
        </w:rPr>
      </w:r>
      <w:bookmarkEnd w:id="0"/>
      <w:r>
        <w:rPr>
          <w:b/>
          <w:bCs/>
          <w:sz w:val="26"/>
          <w:szCs w:val="26"/>
        </w:rPr>
      </w:r>
      <w:hyperlink w:tooltip="Проект" w:anchor="P339" w:history="1">
        <w:r>
          <w:rPr>
            <w:b/>
            <w:bCs/>
            <w:sz w:val="26"/>
            <w:szCs w:val="26"/>
          </w:rPr>
          <w:t xml:space="preserve">проекта</w:t>
        </w:r>
      </w:hyperlink>
      <w:r>
        <w:rPr>
          <w:b/>
          <w:bCs/>
          <w:sz w:val="26"/>
          <w:szCs w:val="26"/>
        </w:rPr>
        <w:t xml:space="preserve"> по форме согласно приложению к Положению;</w:t>
      </w:r>
      <w:r>
        <w:rPr>
          <w:b/>
          <w:bCs/>
          <w:sz w:val="26"/>
          <w:szCs w:val="26"/>
        </w:rPr>
      </w:r>
      <w:r>
        <w:rPr>
          <w:b/>
          <w:bCs/>
          <w:sz w:val="26"/>
          <w:szCs w:val="26"/>
        </w:rPr>
      </w:r>
    </w:p>
    <w:p>
      <w:pPr>
        <w:ind w:firstLine="720"/>
        <w:jc w:val="both"/>
        <w:rPr>
          <w:sz w:val="26"/>
          <w:szCs w:val="26"/>
          <w14:ligatures w14:val="none"/>
        </w:rPr>
      </w:pPr>
      <w:r>
        <w:rPr>
          <w:sz w:val="26"/>
          <w:szCs w:val="26"/>
        </w:rPr>
        <w:t xml:space="preserve">документов, указанных в </w:t>
      </w:r>
      <w:r>
        <w:rPr>
          <w:sz w:val="26"/>
          <w:szCs w:val="26"/>
        </w:rPr>
        <w:t xml:space="preserve">пунктах 3</w:t>
      </w:r>
      <w:r>
        <w:rPr>
          <w:sz w:val="26"/>
          <w:szCs w:val="26"/>
        </w:rPr>
        <w:t xml:space="preserve"> и </w:t>
      </w:r>
      <w:r>
        <w:rPr>
          <w:sz w:val="26"/>
          <w:szCs w:val="26"/>
        </w:rPr>
        <w:t xml:space="preserve">3.1 статьи 32</w:t>
      </w:r>
      <w:r>
        <w:rPr>
          <w:sz w:val="26"/>
          <w:szCs w:val="26"/>
        </w:rPr>
        <w:t xml:space="preserve"> Федерального закона </w:t>
        <w:br/>
        <w:t xml:space="preserve">«О некоммерческих организациях», представленных в Министерство юстиции </w:t>
        <w:br/>
        <w:t xml:space="preserve">Российской Федерации (его территориальный орган), за предыдущий отчетный год;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20"/>
        <w:jc w:val="both"/>
        <w:rPr>
          <w:sz w:val="26"/>
          <w:szCs w:val="26"/>
          <w14:ligatures w14:val="none"/>
        </w:rPr>
      </w:pPr>
      <w:r>
        <w:rPr>
          <w:sz w:val="26"/>
          <w:szCs w:val="26"/>
        </w:rPr>
        <w:t xml:space="preserve">справки из кредитной организации о наличии рублевого счета;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20"/>
        <w:jc w:val="both"/>
        <w:rPr>
          <w:sz w:val="26"/>
          <w:szCs w:val="26"/>
          <w14:ligatures w14:val="none"/>
        </w:rPr>
      </w:pPr>
      <w:r>
        <w:rPr>
          <w:sz w:val="26"/>
          <w:szCs w:val="26"/>
        </w:rPr>
      </w:r>
      <w:bookmarkStart w:id="0" w:name="undefined"/>
      <w:r>
        <w:rPr>
          <w:sz w:val="26"/>
          <w:szCs w:val="26"/>
        </w:rPr>
      </w:r>
      <w:bookmarkEnd w:id="0"/>
      <w:r>
        <w:rPr>
          <w:sz w:val="26"/>
          <w:szCs w:val="26"/>
        </w:rPr>
        <w:t xml:space="preserve">документов, подтверждающих софинансирование из внебюджетных источников расходов на реализацию представленного на конкурс проекта в размере не менее 20 процентов от общей суммы финансирования проекта.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20"/>
        <w:jc w:val="both"/>
        <w:rPr>
          <w:sz w:val="26"/>
          <w:szCs w:val="26"/>
          <w14:ligatures w14:val="none"/>
        </w:rPr>
      </w:pPr>
      <w:r>
        <w:rPr>
          <w:sz w:val="26"/>
          <w:szCs w:val="26"/>
        </w:rPr>
        <w:t xml:space="preserve">Участник конкурса вправе по собственной инициативе представить документы, подтверждающие его соответствие требованиям, установленным в </w:t>
      </w:r>
      <w:r>
        <w:rPr>
          <w:sz w:val="26"/>
          <w:szCs w:val="26"/>
        </w:rPr>
        <w:t xml:space="preserve">пунктах </w:t>
        <w:br/>
        <w:t xml:space="preserve">1.5</w:t>
      </w:r>
      <w:r>
        <w:rPr>
          <w:sz w:val="26"/>
          <w:szCs w:val="26"/>
        </w:rPr>
        <w:t xml:space="preserve"> - </w:t>
      </w:r>
      <w:hyperlink w:tooltip="1.7. Не допускаются к участию в конкурсе некоммерческие организации, находящиеся в процессе реорганизации (за исключением реорганизации в форме присоединения к юридическому лицу, являющемуся участником конкурса, другого юридического лица), ликвидации, в отношении которых введена процедура банкротства, деятельность которых приостановлена в порядке, предусмотренном законодательством Российской Федерации." w:anchor="P99" w:history="1">
        <w:r>
          <w:rPr>
            <w:sz w:val="26"/>
            <w:szCs w:val="26"/>
          </w:rPr>
          <w:t xml:space="preserve">1.7</w:t>
        </w:r>
      </w:hyperlink>
      <w:r>
        <w:rPr>
          <w:sz w:val="26"/>
          <w:szCs w:val="26"/>
        </w:rPr>
        <w:t xml:space="preserve"> постановления, в том числе следующие документы: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20"/>
        <w:jc w:val="both"/>
        <w:rPr>
          <w:sz w:val="26"/>
          <w:szCs w:val="26"/>
          <w14:ligatures w14:val="none"/>
        </w:rPr>
      </w:pPr>
      <w:r>
        <w:rPr>
          <w:sz w:val="26"/>
          <w:szCs w:val="26"/>
        </w:rPr>
        <w:t xml:space="preserve">выписку из Единого государственного реестра юридических лиц;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20"/>
        <w:jc w:val="both"/>
        <w:rPr>
          <w:sz w:val="26"/>
          <w:szCs w:val="26"/>
          <w14:ligatures w14:val="none"/>
        </w:rPr>
      </w:pPr>
      <w:r>
        <w:rPr>
          <w:sz w:val="26"/>
          <w:szCs w:val="26"/>
        </w:rPr>
        <w:t xml:space="preserve">справку о наличии по состоянию на дату формирования справки положительного, отрицательного или нулевого сальдо единого налогового счета налогоплательщика, плательщика сбора, плательщика страховых взносов или налогового агента (форма по КНД 1160082);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20"/>
        <w:jc w:val="both"/>
        <w:rPr>
          <w:sz w:val="26"/>
          <w:szCs w:val="26"/>
          <w14:ligatures w14:val="none"/>
        </w:rPr>
      </w:pPr>
      <w:r>
        <w:rPr>
          <w:sz w:val="26"/>
          <w:szCs w:val="26"/>
        </w:rPr>
        <w:t xml:space="preserve">справки от иных главных распорядителей средств республиканского бюджета Чувашской Респуб</w:t>
      </w:r>
      <w:r>
        <w:rPr>
          <w:sz w:val="26"/>
          <w:szCs w:val="26"/>
        </w:rPr>
        <w:t xml:space="preserve">лики об отсутствии просроченной задолженности по возврату в республиканский бюджет Чувашской Республики иных субсидий, бюджетных инвестиций, а также иной просроченной (неурегулированной) задолженности по денежным обязательствам перед Чувашской Республикой;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20"/>
        <w:jc w:val="both"/>
        <w:rPr>
          <w:sz w:val="26"/>
          <w:szCs w:val="26"/>
          <w14:ligatures w14:val="none"/>
        </w:rPr>
      </w:pPr>
      <w:r>
        <w:rPr>
          <w:sz w:val="26"/>
          <w:szCs w:val="26"/>
        </w:rPr>
        <w:t xml:space="preserve">справки</w:t>
      </w:r>
      <w:r>
        <w:rPr>
          <w:sz w:val="26"/>
          <w:szCs w:val="26"/>
        </w:rPr>
        <w:t xml:space="preserve"> от иных главных распорядителей средств республиканского бюджета Чувашской Республики о получении (неполучении) средств из республиканского бюджета Чувашской Республики на основании иных нормативных правовых актов Чувашской Республики на цели, указанные в </w:t>
      </w:r>
      <w:hyperlink w:tooltip="1.3. Целями конкурса являются:" w:anchor="P54" w:history="1">
        <w:r>
          <w:rPr>
            <w:sz w:val="26"/>
            <w:szCs w:val="26"/>
          </w:rPr>
          <w:t xml:space="preserve">пункте 1.3</w:t>
        </w:r>
      </w:hyperlink>
      <w:r>
        <w:rPr>
          <w:sz w:val="26"/>
          <w:szCs w:val="26"/>
        </w:rPr>
        <w:t xml:space="preserve"> постановления;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20"/>
        <w:jc w:val="both"/>
        <w:rPr>
          <w:sz w:val="26"/>
          <w:szCs w:val="26"/>
          <w14:ligatures w14:val="none"/>
        </w:rPr>
      </w:pPr>
      <w:r>
        <w:rPr>
          <w:sz w:val="26"/>
          <w:szCs w:val="26"/>
        </w:rPr>
        <w:t xml:space="preserve">сведения Управления Министерства юстиции Российской Федерации по Чувашской Республике об отсутствии в составе учредителей некоммерческой организации политической партии.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20"/>
        <w:jc w:val="both"/>
        <w:rPr>
          <w:sz w:val="26"/>
          <w:szCs w:val="26"/>
          <w14:ligatures w14:val="none"/>
        </w:rPr>
      </w:pPr>
      <w:r>
        <w:rPr>
          <w:sz w:val="26"/>
          <w:szCs w:val="26"/>
        </w:rPr>
        <w:t xml:space="preserve">Участник конкурса имеет право представить дополнительные материалы (рекомендательные письма, статьи, копии дипломов, благодарственных писем, фотографии, иные материалы по усмотрению участника конкурса).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20"/>
        <w:jc w:val="both"/>
        <w:rPr>
          <w:sz w:val="26"/>
          <w:szCs w:val="26"/>
          <w14:ligatures w14:val="none"/>
        </w:rPr>
      </w:pPr>
      <w:r>
        <w:rPr>
          <w:sz w:val="26"/>
          <w:szCs w:val="26"/>
        </w:rPr>
        <w:t xml:space="preserve">Если информация, содержащаяся в представленных документах, содержит персональные данные, в состав заявки должно быть включено согласие субъекта персональных данных на их обработку в соответствии с Федеральным </w:t>
      </w:r>
      <w:r>
        <w:rPr>
          <w:sz w:val="26"/>
          <w:szCs w:val="26"/>
        </w:rPr>
        <w:t xml:space="preserve">законом</w:t>
      </w:r>
      <w:r>
        <w:rPr>
          <w:sz w:val="26"/>
          <w:szCs w:val="26"/>
        </w:rPr>
        <w:t xml:space="preserve"> </w:t>
        <w:br/>
        <w:t xml:space="preserve">«О персональных данных».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20"/>
        <w:jc w:val="both"/>
        <w:rPr>
          <w:sz w:val="26"/>
          <w:szCs w:val="26"/>
          <w14:ligatures w14:val="none"/>
        </w:rPr>
      </w:pPr>
      <w:r>
        <w:rPr>
          <w:sz w:val="26"/>
          <w:szCs w:val="26"/>
        </w:rPr>
        <w:t xml:space="preserve">Электронные копии</w:t>
      </w:r>
      <w:r>
        <w:rPr>
          <w:sz w:val="26"/>
          <w:szCs w:val="26"/>
        </w:rPr>
        <w:t xml:space="preserve"> заявки и документов должны иметь распространенные открытые форматы, обеспечивающие возможность просмотра всего документа либо его фрагмента средствами общедоступного программного обеспечения просмотра информации, и не должны быть зашифрованы или защищены </w:t>
      </w:r>
      <w:r>
        <w:rPr>
          <w:sz w:val="26"/>
          <w:szCs w:val="26"/>
        </w:rPr>
        <w:t xml:space="preserve">средствами, не позволяющими осуществить ознакомление с их содержимым без специальных программных или технологических средств. Заявка подписывается усиленной квалифицированной электронной подписью руководителя участника конкурса или уполномоченного им лица.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20"/>
        <w:jc w:val="both"/>
        <w:rPr>
          <w:sz w:val="26"/>
          <w:szCs w:val="26"/>
          <w14:ligatures w14:val="none"/>
        </w:rPr>
      </w:pPr>
      <w:r>
        <w:rPr>
          <w:b/>
          <w:bCs/>
          <w:sz w:val="26"/>
          <w:szCs w:val="26"/>
        </w:rPr>
        <w:t xml:space="preserve">4. </w:t>
      </w:r>
      <w:r>
        <w:rPr>
          <w:sz w:val="26"/>
          <w:szCs w:val="26"/>
        </w:rPr>
        <w:t xml:space="preserve">Заявка, сформированная участником конкурса</w:t>
      </w:r>
      <w:r>
        <w:rPr>
          <w:sz w:val="26"/>
          <w:szCs w:val="26"/>
        </w:rPr>
        <w:t xml:space="preserve"> содержит следующие </w:t>
        <w:br/>
        <w:t xml:space="preserve">сведения: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20"/>
        <w:jc w:val="both"/>
        <w:rPr>
          <w:sz w:val="26"/>
          <w:szCs w:val="26"/>
          <w14:ligatures w14:val="none"/>
        </w:rPr>
      </w:pPr>
      <w:r>
        <w:rPr>
          <w:sz w:val="26"/>
          <w:szCs w:val="26"/>
        </w:rPr>
        <w:t xml:space="preserve">а) информацию об участнике конкурса: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20"/>
        <w:jc w:val="both"/>
        <w:rPr>
          <w:sz w:val="26"/>
          <w:szCs w:val="26"/>
          <w14:ligatures w14:val="none"/>
        </w:rPr>
      </w:pPr>
      <w:r>
        <w:rPr>
          <w:sz w:val="26"/>
          <w:szCs w:val="26"/>
        </w:rPr>
        <w:t xml:space="preserve">полное и сокращенное (при наличии) наименование участника конкурса;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20"/>
        <w:jc w:val="both"/>
        <w:rPr>
          <w:sz w:val="26"/>
          <w:szCs w:val="26"/>
          <w14:ligatures w14:val="none"/>
        </w:rPr>
      </w:pPr>
      <w:r>
        <w:rPr>
          <w:sz w:val="26"/>
          <w:szCs w:val="26"/>
        </w:rPr>
        <w:t xml:space="preserve">основной государственный регистрационный номер участника конкурса;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20"/>
        <w:jc w:val="both"/>
        <w:rPr>
          <w:sz w:val="26"/>
          <w:szCs w:val="26"/>
          <w14:ligatures w14:val="none"/>
        </w:rPr>
      </w:pPr>
      <w:r>
        <w:rPr>
          <w:sz w:val="26"/>
          <w:szCs w:val="26"/>
        </w:rPr>
        <w:t xml:space="preserve">идентификационный номер налогоплательщика;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20"/>
        <w:jc w:val="both"/>
        <w:rPr>
          <w:sz w:val="26"/>
          <w:szCs w:val="26"/>
          <w14:ligatures w14:val="none"/>
        </w:rPr>
      </w:pPr>
      <w:r>
        <w:rPr>
          <w:sz w:val="26"/>
          <w:szCs w:val="26"/>
        </w:rPr>
        <w:t xml:space="preserve">дату и код причины постановки на учет в налоговом органе;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20"/>
        <w:jc w:val="both"/>
        <w:rPr>
          <w:sz w:val="26"/>
          <w:szCs w:val="26"/>
          <w14:ligatures w14:val="none"/>
        </w:rPr>
      </w:pPr>
      <w:r>
        <w:rPr>
          <w:sz w:val="26"/>
          <w:szCs w:val="26"/>
        </w:rPr>
        <w:t xml:space="preserve">номер контактного телефона, почтовый адрес и адрес электронной почты для направления юридически значимых сообщений;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20"/>
        <w:jc w:val="both"/>
        <w:rPr>
          <w:sz w:val="26"/>
          <w:szCs w:val="26"/>
          <w14:ligatures w14:val="none"/>
        </w:rPr>
      </w:pPr>
      <w:r>
        <w:rPr>
          <w:sz w:val="26"/>
          <w:szCs w:val="26"/>
        </w:rPr>
        <w:t xml:space="preserve">фамилию, имя, отчество (последнее - при налич</w:t>
      </w:r>
      <w:r>
        <w:rPr>
          <w:sz w:val="26"/>
          <w:szCs w:val="26"/>
        </w:rPr>
        <w:t xml:space="preserve">ии) и идентификационный номер налогоплательщика главного бухгалтера (при наличии), фамилии, имена, отчества (последнее - при наличии) учредителей, членов коллегиального исполнительного органа, лица, исполняющего функции единоличного исполнительного органа;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20"/>
        <w:jc w:val="both"/>
        <w:rPr>
          <w:sz w:val="26"/>
          <w:szCs w:val="26"/>
          <w14:ligatures w14:val="none"/>
        </w:rPr>
      </w:pPr>
      <w:r>
        <w:rPr>
          <w:sz w:val="26"/>
          <w:szCs w:val="26"/>
        </w:rPr>
        <w:t xml:space="preserve">информацию о руководителе участника конкурса (фамилию, имя, отчество (последнее - при наличии), идентификационный номер налогоплательщика, должность);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20"/>
        <w:jc w:val="both"/>
        <w:rPr>
          <w:sz w:val="26"/>
          <w:szCs w:val="26"/>
          <w14:ligatures w14:val="none"/>
        </w:rPr>
      </w:pPr>
      <w:r>
        <w:rPr>
          <w:sz w:val="26"/>
          <w:szCs w:val="26"/>
        </w:rPr>
        <w:t xml:space="preserve">перечень основных и дополнительных видов деятельности, которые участник конкурса вправе осуществлять в соответствии с учредительными документами организации;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20"/>
        <w:jc w:val="both"/>
        <w:rPr>
          <w:sz w:val="26"/>
          <w:szCs w:val="26"/>
          <w14:ligatures w14:val="none"/>
        </w:rPr>
      </w:pPr>
      <w:r>
        <w:rPr>
          <w:sz w:val="26"/>
          <w:szCs w:val="26"/>
        </w:rPr>
        <w:t xml:space="preserve">информацию о счетах в соответствии с законодательством Российской Федерации, а также о лице, уполномоченном на подписание договора (соглашения);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20"/>
        <w:jc w:val="both"/>
        <w:rPr>
          <w:sz w:val="26"/>
          <w:szCs w:val="26"/>
          <w14:ligatures w14:val="none"/>
        </w:rPr>
      </w:pPr>
      <w:r>
        <w:rPr>
          <w:sz w:val="26"/>
          <w:szCs w:val="26"/>
        </w:rPr>
        <w:t xml:space="preserve">б) подаваемое посредством заполнения соответствующих экранных форм веб-интерфейса системы «Электронный </w:t>
      </w:r>
      <w:r>
        <w:rPr>
          <w:sz w:val="26"/>
          <w:szCs w:val="26"/>
        </w:rPr>
        <w:t xml:space="preserve">бюджет» подтверждение согласия на публикацию (размещение) в сети «Интернет» информации об участнике конкурса, подаваемой участником конкурса заявке, а также иной информации об участнике конкурса, связанной с конкурсом и результатом предоставления субсидии;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20"/>
        <w:jc w:val="both"/>
        <w:rPr>
          <w:sz w:val="26"/>
          <w:szCs w:val="26"/>
          <w14:ligatures w14:val="none"/>
        </w:rPr>
      </w:pPr>
      <w:r>
        <w:rPr>
          <w:sz w:val="26"/>
          <w:szCs w:val="26"/>
        </w:rPr>
        <w:t xml:space="preserve">в) запрашиваемый участником конкурса размер субсидии.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20"/>
        <w:jc w:val="both"/>
        <w:rPr>
          <w:b/>
          <w:bCs/>
          <w:sz w:val="26"/>
          <w:szCs w:val="26"/>
          <w14:ligatures w14:val="none"/>
        </w:rPr>
      </w:pPr>
      <w:r>
        <w:rPr>
          <w:b/>
          <w:bCs/>
          <w:sz w:val="26"/>
          <w:szCs w:val="26"/>
        </w:rPr>
        <w:t xml:space="preserve">Датой и временем представления участником конкурса заявки считаются дата и время подписания участником конкурса указанной заявки </w:t>
        <w:br/>
        <w:t xml:space="preserve">с присвоением ей регистрационного номера в системе «Электронный бюджет».</w:t>
      </w:r>
      <w:r>
        <w:rPr>
          <w:b/>
          <w:bCs/>
          <w:sz w:val="26"/>
          <w:szCs w:val="26"/>
        </w:rPr>
      </w:r>
      <w:r>
        <w:rPr>
          <w:b/>
          <w:bCs/>
          <w:sz w:val="26"/>
          <w:szCs w:val="26"/>
        </w:rPr>
      </w:r>
    </w:p>
    <w:p>
      <w:pPr>
        <w:ind w:firstLine="720"/>
        <w:jc w:val="both"/>
        <w:rPr>
          <w:b/>
          <w:bCs/>
          <w:color w:val="000000"/>
          <w:sz w:val="26"/>
          <w:szCs w:val="26"/>
        </w:rPr>
      </w:pPr>
      <w:r>
        <w:rPr>
          <w:b/>
          <w:bCs/>
          <w:color w:val="000000"/>
          <w:sz w:val="26"/>
          <w:szCs w:val="26"/>
        </w:rPr>
      </w:r>
      <w:r>
        <w:rPr>
          <w:b/>
          <w:bCs/>
          <w:color w:val="000000"/>
          <w:sz w:val="26"/>
          <w:szCs w:val="26"/>
        </w:rPr>
      </w:r>
    </w:p>
    <w:p>
      <w:pPr>
        <w:ind w:firstLine="720"/>
        <w:jc w:val="both"/>
        <w:rPr>
          <w:b/>
          <w:color w:val="000000"/>
          <w:sz w:val="26"/>
          <w:szCs w:val="26"/>
        </w:rPr>
      </w:pPr>
      <w:r>
        <w:rPr>
          <w:b/>
          <w:color w:val="000000"/>
          <w:sz w:val="26"/>
          <w:szCs w:val="26"/>
        </w:rPr>
        <w:t xml:space="preserve">5. Критериями оценки деятельности некоммерческих организаций </w:t>
      </w:r>
      <w:r>
        <w:rPr>
          <w:b/>
          <w:color w:val="000000"/>
          <w:sz w:val="26"/>
          <w:szCs w:val="26"/>
        </w:rPr>
        <w:br/>
        <w:t xml:space="preserve">являются:</w:t>
      </w:r>
      <w:r>
        <w:rPr>
          <w:b/>
          <w:color w:val="000000"/>
          <w:sz w:val="26"/>
          <w:szCs w:val="26"/>
        </w:rPr>
      </w:r>
    </w:p>
    <w:p>
      <w:pPr>
        <w:ind w:firstLine="720"/>
        <w:jc w:val="both"/>
        <w:rPr>
          <w:color w:val="000000"/>
          <w:sz w:val="26"/>
          <w:szCs w:val="26"/>
        </w:rPr>
      </w:pPr>
      <w:bookmarkStart w:id="2" w:name="sub_2281"/>
      <w:r>
        <w:rPr>
          <w:color w:val="000000"/>
          <w:sz w:val="26"/>
          <w:szCs w:val="26"/>
        </w:rPr>
        <w:t xml:space="preserve">осуществление некоммерческой организацией уставной деятельности;</w:t>
      </w:r>
      <w:r>
        <w:rPr>
          <w:color w:val="000000"/>
          <w:sz w:val="26"/>
          <w:szCs w:val="26"/>
        </w:rPr>
      </w:r>
    </w:p>
    <w:p>
      <w:pPr>
        <w:ind w:firstLine="720"/>
        <w:rPr>
          <w:color w:val="000000"/>
          <w:sz w:val="26"/>
          <w:szCs w:val="26"/>
        </w:rPr>
      </w:pPr>
      <w:bookmarkStart w:id="3" w:name="sub_2282"/>
      <w:bookmarkEnd w:id="2"/>
      <w:r>
        <w:rPr>
          <w:color w:val="000000"/>
          <w:sz w:val="26"/>
          <w:szCs w:val="26"/>
        </w:rPr>
        <w:t xml:space="preserve">количество структурных подразделений некоммерческой организации;</w:t>
      </w:r>
      <w:r>
        <w:rPr>
          <w:color w:val="000000"/>
          <w:sz w:val="26"/>
          <w:szCs w:val="26"/>
        </w:rPr>
      </w:r>
    </w:p>
    <w:p>
      <w:pPr>
        <w:ind w:firstLine="720"/>
        <w:jc w:val="both"/>
        <w:rPr>
          <w:color w:val="000000"/>
          <w:sz w:val="26"/>
          <w:szCs w:val="26"/>
        </w:rPr>
      </w:pPr>
      <w:bookmarkStart w:id="4" w:name="sub_2283"/>
      <w:bookmarkEnd w:id="3"/>
      <w:r>
        <w:rPr>
          <w:color w:val="000000"/>
          <w:sz w:val="26"/>
          <w:szCs w:val="26"/>
        </w:rPr>
        <w:t xml:space="preserve">количество социальных проектов в области охраны труда, имеющих соц</w:t>
      </w:r>
      <w:r>
        <w:rPr>
          <w:color w:val="000000"/>
          <w:sz w:val="26"/>
          <w:szCs w:val="26"/>
        </w:rPr>
        <w:t xml:space="preserve">и</w:t>
      </w:r>
      <w:r>
        <w:rPr>
          <w:color w:val="000000"/>
          <w:sz w:val="26"/>
          <w:szCs w:val="26"/>
        </w:rPr>
        <w:t xml:space="preserve">альный эффект, реализованных за период деятельности некоммерческой организ</w:t>
      </w:r>
      <w:r>
        <w:rPr>
          <w:color w:val="000000"/>
          <w:sz w:val="26"/>
          <w:szCs w:val="26"/>
        </w:rPr>
        <w:t xml:space="preserve">а</w:t>
      </w:r>
      <w:r>
        <w:rPr>
          <w:color w:val="000000"/>
          <w:sz w:val="26"/>
          <w:szCs w:val="26"/>
        </w:rPr>
        <w:t xml:space="preserve">ции;</w:t>
      </w:r>
      <w:r>
        <w:rPr>
          <w:color w:val="000000"/>
          <w:sz w:val="26"/>
          <w:szCs w:val="26"/>
        </w:rPr>
      </w:r>
    </w:p>
    <w:p>
      <w:pPr>
        <w:ind w:firstLine="720"/>
        <w:jc w:val="both"/>
        <w:rPr>
          <w:color w:val="000000"/>
          <w:sz w:val="26"/>
          <w:szCs w:val="26"/>
        </w:rPr>
      </w:pPr>
      <w:bookmarkStart w:id="5" w:name="sub_2284"/>
      <w:bookmarkEnd w:id="4"/>
      <w:r>
        <w:rPr>
          <w:color w:val="000000"/>
          <w:sz w:val="26"/>
          <w:szCs w:val="26"/>
        </w:rPr>
        <w:t xml:space="preserve">наличие собственного сайта некоммерческой организации в информацио</w:t>
      </w:r>
      <w:r>
        <w:rPr>
          <w:color w:val="000000"/>
          <w:sz w:val="26"/>
          <w:szCs w:val="26"/>
        </w:rPr>
        <w:t xml:space="preserve">н</w:t>
      </w:r>
      <w:r>
        <w:rPr>
          <w:color w:val="000000"/>
          <w:sz w:val="26"/>
          <w:szCs w:val="26"/>
        </w:rPr>
        <w:t xml:space="preserve">но-телекоммуникационной сети «Интернет», обновляемого не реже 2 раз в месяц;</w:t>
      </w:r>
      <w:r>
        <w:rPr>
          <w:color w:val="000000"/>
          <w:sz w:val="26"/>
          <w:szCs w:val="26"/>
        </w:rPr>
      </w:r>
    </w:p>
    <w:p>
      <w:pPr>
        <w:ind w:firstLine="72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</w:r>
      <w:r>
        <w:rPr>
          <w:color w:val="000000"/>
          <w:sz w:val="26"/>
          <w:szCs w:val="26"/>
        </w:rPr>
      </w:r>
    </w:p>
    <w:p>
      <w:pPr>
        <w:ind w:firstLine="720"/>
        <w:jc w:val="both"/>
        <w:rPr>
          <w:b/>
          <w:color w:val="000000"/>
          <w:sz w:val="26"/>
          <w:szCs w:val="26"/>
        </w:rPr>
      </w:pPr>
      <w:r>
        <w:rPr>
          <w:b/>
          <w:color w:val="000000"/>
          <w:sz w:val="26"/>
          <w:szCs w:val="26"/>
        </w:rPr>
        <w:t xml:space="preserve">6. Критериями оценки проектов являются:</w:t>
      </w:r>
      <w:r>
        <w:rPr>
          <w:b/>
          <w:color w:val="000000"/>
          <w:sz w:val="26"/>
          <w:szCs w:val="26"/>
        </w:rPr>
      </w:r>
    </w:p>
    <w:p>
      <w:pPr>
        <w:ind w:firstLine="72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соответствие направлениям, предусмотренным пунктом 1.4 постановления</w:t>
      </w:r>
      <w:r>
        <w:rPr>
          <w:color w:val="000000"/>
          <w:sz w:val="26"/>
          <w:szCs w:val="26"/>
        </w:rPr>
        <w:t xml:space="preserve"> (соответствие целей, мероприятий проекта приоритетным направлен</w:t>
      </w:r>
      <w:r>
        <w:rPr>
          <w:color w:val="000000"/>
          <w:sz w:val="26"/>
          <w:szCs w:val="26"/>
        </w:rPr>
        <w:t xml:space="preserve">и</w:t>
      </w:r>
      <w:r>
        <w:rPr>
          <w:color w:val="000000"/>
          <w:sz w:val="26"/>
          <w:szCs w:val="26"/>
        </w:rPr>
        <w:t xml:space="preserve">ям предоставления поддержки, наличие и реалистичность </w:t>
      </w:r>
      <w:r>
        <w:rPr>
          <w:color w:val="000000"/>
          <w:sz w:val="26"/>
          <w:szCs w:val="26"/>
        </w:rPr>
        <w:t xml:space="preserve">значений показателей результативности реализации проекта</w:t>
      </w:r>
      <w:r>
        <w:rPr>
          <w:color w:val="000000"/>
          <w:sz w:val="26"/>
          <w:szCs w:val="26"/>
        </w:rPr>
        <w:t xml:space="preserve">);</w:t>
      </w:r>
      <w:r>
        <w:rPr>
          <w:color w:val="000000"/>
          <w:sz w:val="26"/>
          <w:szCs w:val="26"/>
        </w:rPr>
      </w:r>
    </w:p>
    <w:p>
      <w:pPr>
        <w:ind w:firstLine="72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актуальность (вероятность и скорость наступления отрицательных после</w:t>
      </w:r>
      <w:r>
        <w:rPr>
          <w:color w:val="000000"/>
          <w:sz w:val="26"/>
          <w:szCs w:val="26"/>
        </w:rPr>
        <w:t xml:space="preserve">д</w:t>
      </w:r>
      <w:r>
        <w:rPr>
          <w:color w:val="000000"/>
          <w:sz w:val="26"/>
          <w:szCs w:val="26"/>
        </w:rPr>
        <w:t xml:space="preserve">ствий в случае отказа от реализации мероприятий проекта, масштабность негати</w:t>
      </w:r>
      <w:r>
        <w:rPr>
          <w:color w:val="000000"/>
          <w:sz w:val="26"/>
          <w:szCs w:val="26"/>
        </w:rPr>
        <w:t xml:space="preserve">в</w:t>
      </w:r>
      <w:r>
        <w:rPr>
          <w:color w:val="000000"/>
          <w:sz w:val="26"/>
          <w:szCs w:val="26"/>
        </w:rPr>
        <w:t xml:space="preserve">ных последствий, а также наличие или отсутствие государственных мер для реш</w:t>
      </w:r>
      <w:r>
        <w:rPr>
          <w:color w:val="000000"/>
          <w:sz w:val="26"/>
          <w:szCs w:val="26"/>
        </w:rPr>
        <w:t xml:space="preserve">е</w:t>
      </w:r>
      <w:r>
        <w:rPr>
          <w:color w:val="000000"/>
          <w:sz w:val="26"/>
          <w:szCs w:val="26"/>
        </w:rPr>
        <w:t xml:space="preserve">ния этих или </w:t>
      </w:r>
      <w:r>
        <w:rPr>
          <w:color w:val="000000"/>
          <w:sz w:val="26"/>
          <w:szCs w:val="26"/>
        </w:rPr>
        <w:t xml:space="preserve">аналогичных проблем</w:t>
      </w:r>
      <w:r>
        <w:rPr>
          <w:color w:val="000000"/>
          <w:sz w:val="26"/>
          <w:szCs w:val="26"/>
        </w:rPr>
        <w:t xml:space="preserve">);</w:t>
      </w:r>
      <w:r>
        <w:rPr>
          <w:color w:val="000000"/>
          <w:sz w:val="26"/>
          <w:szCs w:val="26"/>
        </w:rPr>
      </w:r>
    </w:p>
    <w:p>
      <w:pPr>
        <w:ind w:firstLine="72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социальная эффективность (улучшение состояния условий и охраны труда, решение проблем в области охраны труда, наличие новых подходов и методов в решении заявленных проблем);</w:t>
      </w:r>
      <w:r>
        <w:rPr>
          <w:color w:val="000000"/>
          <w:sz w:val="26"/>
          <w:szCs w:val="26"/>
        </w:rPr>
      </w:r>
    </w:p>
    <w:p>
      <w:pPr>
        <w:ind w:firstLine="72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реалистичность (наличие собственных квалифицированных кадров, спосо</w:t>
      </w:r>
      <w:r>
        <w:rPr>
          <w:color w:val="000000"/>
          <w:sz w:val="26"/>
          <w:szCs w:val="26"/>
        </w:rPr>
        <w:t xml:space="preserve">б</w:t>
      </w:r>
      <w:r>
        <w:rPr>
          <w:color w:val="000000"/>
          <w:sz w:val="26"/>
          <w:szCs w:val="26"/>
        </w:rPr>
        <w:t xml:space="preserve">ность привлекать в необходимом количестве специалистов и добровольцев (воло</w:t>
      </w:r>
      <w:r>
        <w:rPr>
          <w:color w:val="000000"/>
          <w:sz w:val="26"/>
          <w:szCs w:val="26"/>
        </w:rPr>
        <w:t xml:space="preserve">н</w:t>
      </w:r>
      <w:r>
        <w:rPr>
          <w:color w:val="000000"/>
          <w:sz w:val="26"/>
          <w:szCs w:val="26"/>
        </w:rPr>
        <w:t xml:space="preserve">теров) для реализации мероприятий проекта, наличие необходимых ресурсов, д</w:t>
      </w:r>
      <w:r>
        <w:rPr>
          <w:color w:val="000000"/>
          <w:sz w:val="26"/>
          <w:szCs w:val="26"/>
        </w:rPr>
        <w:t xml:space="preserve">о</w:t>
      </w:r>
      <w:r>
        <w:rPr>
          <w:color w:val="000000"/>
          <w:sz w:val="26"/>
          <w:szCs w:val="26"/>
        </w:rPr>
        <w:t xml:space="preserve">статочность финансовых средств для реализации мероприятий и достижения целей проекта, а также наличие опыта выполнения мероприятий, аналогичных по соде</w:t>
      </w:r>
      <w:r>
        <w:rPr>
          <w:color w:val="000000"/>
          <w:sz w:val="26"/>
          <w:szCs w:val="26"/>
        </w:rPr>
        <w:t xml:space="preserve">р</w:t>
      </w:r>
      <w:r>
        <w:rPr>
          <w:color w:val="000000"/>
          <w:sz w:val="26"/>
          <w:szCs w:val="26"/>
        </w:rPr>
        <w:t xml:space="preserve">жанию и </w:t>
      </w:r>
      <w:r>
        <w:rPr>
          <w:color w:val="000000"/>
          <w:sz w:val="26"/>
          <w:szCs w:val="26"/>
        </w:rPr>
        <w:t xml:space="preserve">объему</w:t>
      </w:r>
      <w:r>
        <w:rPr>
          <w:color w:val="000000"/>
          <w:sz w:val="26"/>
          <w:szCs w:val="26"/>
        </w:rPr>
        <w:t xml:space="preserve"> заявленным в проекте);</w:t>
      </w:r>
      <w:r>
        <w:rPr>
          <w:color w:val="000000"/>
          <w:sz w:val="26"/>
          <w:szCs w:val="26"/>
        </w:rPr>
      </w:r>
    </w:p>
    <w:p>
      <w:pPr>
        <w:ind w:firstLine="72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обоснованность (соответствие запрашиваемых средств целям и мероприят</w:t>
      </w:r>
      <w:r>
        <w:rPr>
          <w:color w:val="000000"/>
          <w:sz w:val="26"/>
          <w:szCs w:val="26"/>
        </w:rPr>
        <w:t xml:space="preserve">и</w:t>
      </w:r>
      <w:r>
        <w:rPr>
          <w:color w:val="000000"/>
          <w:sz w:val="26"/>
          <w:szCs w:val="26"/>
        </w:rPr>
        <w:t xml:space="preserve">ям проекта, наличие необходимых обоснований, расчетов, логики и </w:t>
      </w:r>
      <w:r>
        <w:rPr>
          <w:color w:val="000000"/>
          <w:sz w:val="26"/>
          <w:szCs w:val="26"/>
        </w:rPr>
        <w:t xml:space="preserve">взаимоувязки</w:t>
      </w:r>
      <w:r>
        <w:rPr>
          <w:color w:val="000000"/>
          <w:sz w:val="26"/>
          <w:szCs w:val="26"/>
        </w:rPr>
        <w:t xml:space="preserve"> предлагаемых мероприятий);</w:t>
      </w:r>
      <w:r>
        <w:rPr>
          <w:color w:val="000000"/>
          <w:sz w:val="26"/>
          <w:szCs w:val="26"/>
        </w:rPr>
      </w:r>
    </w:p>
    <w:p>
      <w:pPr>
        <w:ind w:firstLine="72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экономическая эффективность (соотношение затрат и полученных результ</w:t>
      </w:r>
      <w:r>
        <w:rPr>
          <w:color w:val="000000"/>
          <w:sz w:val="26"/>
          <w:szCs w:val="26"/>
        </w:rPr>
        <w:t xml:space="preserve">а</w:t>
      </w:r>
      <w:r>
        <w:rPr>
          <w:color w:val="000000"/>
          <w:sz w:val="26"/>
          <w:szCs w:val="26"/>
        </w:rPr>
        <w:t xml:space="preserve">тов (в случаях, когда такая оценка возможна), количество создаваемых рабочих мест, количество привлекаемых к реализации проекта специалистов, объем пре</w:t>
      </w:r>
      <w:r>
        <w:rPr>
          <w:color w:val="000000"/>
          <w:sz w:val="26"/>
          <w:szCs w:val="26"/>
        </w:rPr>
        <w:t xml:space="preserve">д</w:t>
      </w:r>
      <w:r>
        <w:rPr>
          <w:color w:val="000000"/>
          <w:sz w:val="26"/>
          <w:szCs w:val="26"/>
        </w:rPr>
        <w:t xml:space="preserve">полагаемых средств на реализацию проекта из внебюджетных источников, включая денежные средства, иное имущество).</w:t>
      </w:r>
      <w:r>
        <w:rPr>
          <w:color w:val="000000"/>
          <w:sz w:val="26"/>
          <w:szCs w:val="26"/>
        </w:rPr>
      </w:r>
    </w:p>
    <w:p>
      <w:pPr>
        <w:ind w:firstLine="72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</w:r>
      <w:r>
        <w:rPr>
          <w:color w:val="000000"/>
          <w:sz w:val="26"/>
          <w:szCs w:val="26"/>
        </w:rPr>
      </w:r>
    </w:p>
    <w:p>
      <w:pPr>
        <w:ind w:firstLine="72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</w:r>
      <w:r>
        <w:rPr>
          <w:color w:val="000000"/>
          <w:sz w:val="26"/>
          <w:szCs w:val="26"/>
        </w:rPr>
      </w:r>
    </w:p>
    <w:p>
      <w:pPr>
        <w:ind w:firstLine="720"/>
        <w:jc w:val="center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_______________________</w:t>
      </w:r>
      <w:r>
        <w:rPr>
          <w:color w:val="000000"/>
          <w:sz w:val="26"/>
          <w:szCs w:val="26"/>
        </w:rPr>
      </w:r>
    </w:p>
    <w:sectPr>
      <w:headerReference w:type="default" r:id="rId8"/>
      <w:headerReference w:type="even" r:id="rId9"/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409020205020404"/>
  </w:font>
  <w:font w:name="Tahoma">
    <w:panose1 w:val="020B0604030504040204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92"/>
      <w:framePr w:wrap="around" w:vAnchor="text" w:hAnchor="margin" w:xAlign="center" w:y="1"/>
      <w:rPr>
        <w:rStyle w:val="693"/>
        <w:sz w:val="22"/>
        <w:szCs w:val="22"/>
      </w:rPr>
    </w:pPr>
    <w:r>
      <w:rPr>
        <w:rStyle w:val="693"/>
        <w:sz w:val="22"/>
        <w:szCs w:val="22"/>
      </w:rPr>
      <w:fldChar w:fldCharType="begin"/>
    </w:r>
    <w:r>
      <w:rPr>
        <w:rStyle w:val="693"/>
        <w:sz w:val="22"/>
        <w:szCs w:val="22"/>
      </w:rPr>
      <w:instrText xml:space="preserve">PAGE  </w:instrText>
    </w:r>
    <w:r>
      <w:rPr>
        <w:rStyle w:val="693"/>
        <w:sz w:val="22"/>
        <w:szCs w:val="22"/>
      </w:rPr>
      <w:fldChar w:fldCharType="separate"/>
    </w:r>
    <w:r>
      <w:rPr>
        <w:rStyle w:val="693"/>
        <w:sz w:val="22"/>
        <w:szCs w:val="22"/>
      </w:rPr>
      <w:t xml:space="preserve">5</w:t>
    </w:r>
    <w:r>
      <w:rPr>
        <w:rStyle w:val="693"/>
        <w:sz w:val="22"/>
        <w:szCs w:val="22"/>
      </w:rPr>
      <w:fldChar w:fldCharType="end"/>
    </w:r>
    <w:r>
      <w:rPr>
        <w:rStyle w:val="693"/>
        <w:sz w:val="22"/>
        <w:szCs w:val="22"/>
      </w:rPr>
    </w:r>
  </w:p>
  <w:p>
    <w:pPr>
      <w:pStyle w:val="692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92"/>
      <w:framePr w:wrap="around" w:vAnchor="text" w:hAnchor="margin" w:xAlign="center" w:y="1"/>
      <w:rPr>
        <w:rStyle w:val="693"/>
      </w:rPr>
    </w:pPr>
    <w:r>
      <w:rPr>
        <w:rStyle w:val="693"/>
      </w:rPr>
      <w:fldChar w:fldCharType="begin"/>
    </w:r>
    <w:r>
      <w:rPr>
        <w:rStyle w:val="693"/>
      </w:rPr>
      <w:instrText xml:space="preserve">PAGE  </w:instrText>
    </w:r>
    <w:r>
      <w:rPr>
        <w:rStyle w:val="693"/>
      </w:rPr>
      <w:fldChar w:fldCharType="end"/>
    </w:r>
    <w:r>
      <w:rPr>
        <w:rStyle w:val="693"/>
      </w:rPr>
    </w:r>
  </w:p>
  <w:p>
    <w:pPr>
      <w:pStyle w:val="692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autoHyphenation w:val="true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4">
    <w:name w:val="Heading 1 Char"/>
    <w:basedOn w:val="689"/>
    <w:link w:val="688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687"/>
    <w:next w:val="687"/>
    <w:link w:val="16"/>
    <w:uiPriority w:val="9"/>
    <w:unhideWhenUsed/>
    <w:qFormat/>
    <w:pPr>
      <w:keepNext/>
      <w:keepLines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689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687"/>
    <w:next w:val="687"/>
    <w:link w:val="18"/>
    <w:uiPriority w:val="9"/>
    <w:unhideWhenUsed/>
    <w:qFormat/>
    <w:pPr>
      <w:keepNext/>
      <w:keepLines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689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687"/>
    <w:next w:val="687"/>
    <w:link w:val="20"/>
    <w:uiPriority w:val="9"/>
    <w:unhideWhenUsed/>
    <w:qFormat/>
    <w:pPr>
      <w:keepNext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689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687"/>
    <w:next w:val="687"/>
    <w:link w:val="22"/>
    <w:uiPriority w:val="9"/>
    <w:unhideWhenUsed/>
    <w:qFormat/>
    <w:pPr>
      <w:keepNext/>
      <w:keepLines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689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687"/>
    <w:next w:val="687"/>
    <w:link w:val="24"/>
    <w:uiPriority w:val="9"/>
    <w:unhideWhenUsed/>
    <w:qFormat/>
    <w:pPr>
      <w:keepNext/>
      <w:keepLines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689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687"/>
    <w:next w:val="687"/>
    <w:link w:val="26"/>
    <w:uiPriority w:val="9"/>
    <w:unhideWhenUsed/>
    <w:qFormat/>
    <w:pPr>
      <w:keepNext/>
      <w:keepLines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689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687"/>
    <w:next w:val="687"/>
    <w:link w:val="28"/>
    <w:uiPriority w:val="9"/>
    <w:unhideWhenUsed/>
    <w:qFormat/>
    <w:pPr>
      <w:keepNext/>
      <w:keepLines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689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687"/>
    <w:next w:val="687"/>
    <w:link w:val="30"/>
    <w:uiPriority w:val="9"/>
    <w:unhideWhenUsed/>
    <w:qFormat/>
    <w:pPr>
      <w:keepNext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689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1">
    <w:name w:val="List Paragraph"/>
    <w:basedOn w:val="687"/>
    <w:uiPriority w:val="34"/>
    <w:qFormat/>
    <w:pPr>
      <w:ind w:left="720"/>
      <w:contextualSpacing/>
    </w:pPr>
  </w:style>
  <w:style w:type="paragraph" w:styleId="33">
    <w:name w:val="No Spacing"/>
    <w:uiPriority w:val="1"/>
    <w:qFormat/>
    <w:pPr>
      <w:spacing w:before="0" w:after="0" w:line="240" w:lineRule="auto"/>
    </w:pPr>
  </w:style>
  <w:style w:type="paragraph" w:styleId="34">
    <w:name w:val="Title"/>
    <w:basedOn w:val="687"/>
    <w:next w:val="687"/>
    <w:link w:val="35"/>
    <w:uiPriority w:val="10"/>
    <w:qFormat/>
    <w:pPr>
      <w:spacing w:before="300" w:after="200"/>
      <w:contextualSpacing/>
    </w:pPr>
    <w:rPr>
      <w:sz w:val="48"/>
      <w:szCs w:val="48"/>
    </w:rPr>
  </w:style>
  <w:style w:type="character" w:styleId="35">
    <w:name w:val="Title Char"/>
    <w:basedOn w:val="689"/>
    <w:link w:val="34"/>
    <w:uiPriority w:val="10"/>
    <w:rPr>
      <w:sz w:val="48"/>
      <w:szCs w:val="48"/>
    </w:rPr>
  </w:style>
  <w:style w:type="paragraph" w:styleId="36">
    <w:name w:val="Subtitle"/>
    <w:basedOn w:val="687"/>
    <w:next w:val="687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689"/>
    <w:link w:val="36"/>
    <w:uiPriority w:val="11"/>
    <w:rPr>
      <w:sz w:val="24"/>
      <w:szCs w:val="24"/>
    </w:rPr>
  </w:style>
  <w:style w:type="paragraph" w:styleId="38">
    <w:name w:val="Quote"/>
    <w:basedOn w:val="687"/>
    <w:next w:val="687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687"/>
    <w:next w:val="687"/>
    <w:link w:val="41"/>
    <w:uiPriority w:val="30"/>
    <w:qFormat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ind w:left="720" w:right="720"/>
      <w:contextualSpacing w:val="0"/>
    </w:pPr>
    <w:rPr>
      <w:i/>
    </w:rPr>
  </w:style>
  <w:style w:type="character" w:styleId="41">
    <w:name w:val="Intense Quote Char"/>
    <w:link w:val="40"/>
    <w:uiPriority w:val="30"/>
    <w:rPr>
      <w:i/>
    </w:rPr>
  </w:style>
  <w:style w:type="character" w:styleId="43">
    <w:name w:val="Header Char"/>
    <w:basedOn w:val="689"/>
    <w:link w:val="692"/>
    <w:uiPriority w:val="99"/>
  </w:style>
  <w:style w:type="character" w:styleId="45">
    <w:name w:val="Footer Char"/>
    <w:basedOn w:val="689"/>
    <w:link w:val="696"/>
    <w:uiPriority w:val="99"/>
  </w:style>
  <w:style w:type="paragraph" w:styleId="46">
    <w:name w:val="Caption"/>
    <w:basedOn w:val="687"/>
    <w:next w:val="68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46"/>
    <w:link w:val="696"/>
    <w:uiPriority w:val="99"/>
  </w:style>
  <w:style w:type="table" w:styleId="48">
    <w:name w:val="Table Grid"/>
    <w:basedOn w:val="690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Table Grid Light"/>
    <w:basedOn w:val="69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69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690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tcBorders>
          <w:right w:val="single" w:color="404040" w:sz="4" w:space="0"/>
        </w:tcBorders>
        <w:shd w:val="clear" w:color="ffffff"/>
      </w:tcPr>
    </w:tblStylePr>
    <w:tblStylePr w:type="firstRow">
      <w:rPr>
        <w:i/>
        <w:color w:val="404040"/>
      </w:rPr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left w:val="single" w:color="404040" w:sz="4" w:space="0"/>
        </w:tcBorders>
        <w:shd w:val="clear" w:color="ffffff"/>
      </w:tcPr>
    </w:tblStylePr>
    <w:tblStylePr w:type="lastRow">
      <w:rPr>
        <w:i/>
        <w:color w:val="404040"/>
      </w:rPr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55">
    <w:name w:val="Grid Table 1 Light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63">
    <w:name w:val="Grid Table 2 - Accent 1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64">
    <w:name w:val="Grid Table 2 - Accent 2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65">
    <w:name w:val="Grid Table 2 - Accent 3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66">
    <w:name w:val="Grid Table 2 - Accent 4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67">
    <w:name w:val="Grid Table 2 - Accent 5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68">
    <w:name w:val="Grid Table 2 - Accent 6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69">
    <w:name w:val="Grid Table 3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0">
    <w:name w:val="Grid Table 3 - Accent 1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1">
    <w:name w:val="Grid Table 3 - Accent 2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2">
    <w:name w:val="Grid Table 3 - Accent 3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3">
    <w:name w:val="Grid Table 3 - Accent 4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4">
    <w:name w:val="Grid Table 3 - Accent 5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5">
    <w:name w:val="Grid Table 3 - Accent 6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6">
    <w:name w:val="Grid Table 4"/>
    <w:basedOn w:val="69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69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  <w:shd w:val="clear" w:color="ffffff" w:themeColor="accent1" w:themeTint="EA" w:fill="5d8dc2" w:themeFill="accent1" w:themeFillTint="E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69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69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  <w:shd w:val="clear" w:color="ffffff" w:themeColor="accent3" w:themeTint="FE" w:fill="9bba59" w:themeFill="accent3" w:themeFillTint="FE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69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69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69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text1" w:fill="000000" w:themeFill="text1"/>
      </w:tcPr>
    </w:tblStylePr>
  </w:style>
  <w:style w:type="table" w:styleId="84">
    <w:name w:val="Grid Table 5 Dark- Accent 1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1" w:fill="4f81bd" w:themeFill="accent1"/>
      </w:tcPr>
    </w:tblStylePr>
  </w:style>
  <w:style w:type="table" w:styleId="85">
    <w:name w:val="Grid Table 5 Dark - Accent 2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2" w:fill="c0504d" w:themeFill="accent2"/>
      </w:tcPr>
    </w:tblStylePr>
  </w:style>
  <w:style w:type="table" w:styleId="86">
    <w:name w:val="Grid Table 5 Dark - Accent 3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3" w:fill="9bbb59" w:themeFill="accent3"/>
      </w:tcPr>
    </w:tblStylePr>
  </w:style>
  <w:style w:type="table" w:styleId="87">
    <w:name w:val="Grid Table 5 Dark- Accent 4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4" w:fill="8064a2" w:themeFill="accent4"/>
      </w:tcPr>
    </w:tblStylePr>
  </w:style>
  <w:style w:type="table" w:styleId="88">
    <w:name w:val="Grid Table 5 Dark - Accent 5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5" w:fill="4bacc6" w:themeFill="accent5"/>
      </w:tcPr>
    </w:tblStylePr>
  </w:style>
  <w:style w:type="table" w:styleId="89">
    <w:name w:val="Grid Table 5 Dark - Accent 6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6" w:fill="f79646" w:themeFill="accent6"/>
      </w:tcPr>
    </w:tblStylePr>
  </w:style>
  <w:style w:type="table" w:styleId="90">
    <w:name w:val="Grid Table 6 Colorful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tcBorders>
          <w:top w:val="none"/>
          <w:left w:val="none"/>
          <w:bottom w:val="none"/>
          <w:right w:val="single" w:color="000000" w:themeColor="text1" w:themeTint="80" w:sz="4" w:space="0"/>
        </w:tcBorders>
        <w:shd w:color="ffffff"/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tcBorders>
          <w:top w:val="none"/>
          <w:left w:val="none"/>
          <w:bottom w:val="single" w:color="000000" w:themeColor="text1" w:themeTint="80" w:sz="4" w:space="0"/>
          <w:right w:val="none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tcBorders>
          <w:top w:val="none"/>
          <w:left w:val="single" w:color="000000" w:themeColor="text1" w:themeTint="80" w:sz="4" w:space="0"/>
          <w:bottom w:val="none"/>
          <w:right w:val="none"/>
        </w:tcBorders>
        <w:shd w:color="ffffff"/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tcBorders>
          <w:top w:val="single" w:color="000000" w:themeColor="text1" w:themeTint="80" w:sz="4" w:space="0"/>
          <w:left w:val="none"/>
          <w:bottom w:val="none"/>
          <w:right w:val="none"/>
        </w:tcBorders>
        <w:shd w:val="clear" w:color="ffffff" w:themeColor="light1" w:fill="ffffff" w:themeFill="light1"/>
      </w:tcPr>
    </w:tblStylePr>
  </w:style>
  <w:style w:type="table" w:styleId="98">
    <w:name w:val="Grid Table 7 Colorful - Accent 1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tcBorders>
          <w:top w:val="none"/>
          <w:left w:val="none"/>
          <w:bottom w:val="none"/>
          <w:right w:val="single" w:color="000000" w:themeColor="accent1" w:themeTint="80" w:sz="4" w:space="0"/>
        </w:tcBorders>
        <w:shd w:color="ffffff"/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tcBorders>
          <w:top w:val="none"/>
          <w:left w:val="none"/>
          <w:bottom w:val="single" w:color="000000" w:themeColor="accent1" w:themeTint="80" w:sz="4" w:space="0"/>
          <w:right w:val="none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tcBorders>
          <w:top w:val="none"/>
          <w:left w:val="single" w:color="000000" w:themeColor="accent1" w:themeTint="80" w:sz="4" w:space="0"/>
          <w:bottom w:val="none"/>
          <w:right w:val="none"/>
        </w:tcBorders>
        <w:shd w:color="ffffff"/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tcBorders>
          <w:top w:val="single" w:color="000000" w:themeColor="accent1" w:themeTint="80" w:sz="4" w:space="0"/>
          <w:left w:val="none"/>
          <w:bottom w:val="none"/>
          <w:right w:val="none"/>
        </w:tcBorders>
        <w:shd w:val="clear" w:color="ffffff" w:themeColor="light1" w:fill="ffffff" w:themeFill="light1"/>
      </w:tcPr>
    </w:tblStylePr>
  </w:style>
  <w:style w:type="table" w:styleId="99">
    <w:name w:val="Grid Table 7 Colorful - Accent 2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tcBorders>
          <w:top w:val="none"/>
          <w:left w:val="none"/>
          <w:bottom w:val="none"/>
          <w:right w:val="single" w:color="000000" w:themeColor="accent2" w:themeTint="97" w:sz="4" w:space="0"/>
        </w:tcBorders>
        <w:shd w:color="ffffff"/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tcBorders>
          <w:top w:val="none"/>
          <w:left w:val="none"/>
          <w:bottom w:val="single" w:color="000000" w:themeColor="accent2" w:themeTint="97" w:sz="4" w:space="0"/>
          <w:right w:val="none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tcBorders>
          <w:top w:val="none"/>
          <w:left w:val="single" w:color="000000" w:themeColor="accent2" w:themeTint="97" w:sz="4" w:space="0"/>
          <w:bottom w:val="none"/>
          <w:right w:val="none"/>
        </w:tcBorders>
        <w:shd w:color="ffffff"/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tcBorders>
          <w:top w:val="single" w:color="000000" w:themeColor="accent2" w:themeTint="97" w:sz="4" w:space="0"/>
          <w:left w:val="none"/>
          <w:bottom w:val="none"/>
          <w:right w:val="none"/>
        </w:tcBorders>
        <w:shd w:val="clear" w:color="ffffff" w:themeColor="light1" w:fill="ffffff" w:themeFill="light1"/>
      </w:tcPr>
    </w:tblStylePr>
  </w:style>
  <w:style w:type="table" w:styleId="100">
    <w:name w:val="Grid Table 7 Colorful - Accent 3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tcBorders>
          <w:top w:val="none"/>
          <w:left w:val="none"/>
          <w:bottom w:val="none"/>
          <w:right w:val="single" w:color="000000" w:themeColor="accent3" w:themeTint="FE" w:sz="4" w:space="0"/>
        </w:tcBorders>
        <w:shd w:color="ffffff"/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tcBorders>
          <w:top w:val="none"/>
          <w:left w:val="none"/>
          <w:bottom w:val="single" w:color="000000" w:themeColor="accent3" w:themeTint="FE" w:sz="4" w:space="0"/>
          <w:right w:val="none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tcBorders>
          <w:top w:val="none"/>
          <w:left w:val="single" w:color="000000" w:themeColor="accent3" w:themeTint="FE" w:sz="4" w:space="0"/>
          <w:bottom w:val="none"/>
          <w:right w:val="none"/>
        </w:tcBorders>
        <w:shd w:color="ffffff"/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tcBorders>
          <w:top w:val="single" w:color="000000" w:themeColor="accent3" w:themeTint="FE" w:sz="4" w:space="0"/>
          <w:left w:val="none"/>
          <w:bottom w:val="none"/>
          <w:right w:val="none"/>
        </w:tcBorders>
        <w:shd w:val="clear" w:color="ffffff" w:themeColor="light1" w:fill="ffffff" w:themeFill="light1"/>
      </w:tcPr>
    </w:tblStylePr>
  </w:style>
  <w:style w:type="table" w:styleId="101">
    <w:name w:val="Grid Table 7 Colorful - Accent 4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tcBorders>
          <w:top w:val="none"/>
          <w:left w:val="none"/>
          <w:bottom w:val="none"/>
          <w:right w:val="single" w:color="000000" w:themeColor="accent4" w:themeTint="9A" w:sz="4" w:space="0"/>
        </w:tcBorders>
        <w:shd w:color="ffffff"/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tcBorders>
          <w:top w:val="none"/>
          <w:left w:val="none"/>
          <w:bottom w:val="single" w:color="000000" w:themeColor="accent4" w:themeTint="9A" w:sz="4" w:space="0"/>
          <w:right w:val="none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tcBorders>
          <w:top w:val="none"/>
          <w:left w:val="single" w:color="000000" w:themeColor="accent4" w:themeTint="9A" w:sz="4" w:space="0"/>
          <w:bottom w:val="none"/>
          <w:right w:val="none"/>
        </w:tcBorders>
        <w:shd w:color="ffffff"/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tcBorders>
          <w:top w:val="single" w:color="000000" w:themeColor="accent4" w:themeTint="9A" w:sz="4" w:space="0"/>
          <w:left w:val="none"/>
          <w:bottom w:val="none"/>
          <w:right w:val="none"/>
        </w:tcBorders>
        <w:shd w:val="clear" w:color="ffffff" w:themeColor="light1" w:fill="ffffff" w:themeFill="light1"/>
      </w:tcPr>
    </w:tblStylePr>
  </w:style>
  <w:style w:type="table" w:styleId="102">
    <w:name w:val="Grid Table 7 Colorful - Accent 5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tcBorders>
          <w:top w:val="none"/>
          <w:left w:val="none"/>
          <w:bottom w:val="none"/>
          <w:right w:val="single" w:color="000000" w:themeColor="accent5" w:themeTint="90" w:sz="4" w:space="0"/>
        </w:tcBorders>
        <w:shd w:color="ffffff"/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tcBorders>
          <w:top w:val="none"/>
          <w:left w:val="none"/>
          <w:bottom w:val="single" w:color="000000" w:themeColor="accent5" w:themeTint="90" w:sz="4" w:space="0"/>
          <w:right w:val="none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tcBorders>
          <w:top w:val="none"/>
          <w:left w:val="single" w:color="000000" w:themeColor="accent5" w:themeTint="90" w:sz="4" w:space="0"/>
          <w:bottom w:val="none"/>
          <w:right w:val="none"/>
        </w:tcBorders>
        <w:shd w:color="ffffff"/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tcBorders>
          <w:top w:val="single" w:color="000000" w:themeColor="accent5" w:themeTint="90" w:sz="4" w:space="0"/>
          <w:left w:val="none"/>
          <w:bottom w:val="none"/>
          <w:right w:val="none"/>
        </w:tcBorders>
        <w:shd w:val="clear" w:color="ffffff" w:themeColor="light1" w:fill="ffffff" w:themeFill="light1"/>
      </w:tcPr>
    </w:tblStylePr>
  </w:style>
  <w:style w:type="table" w:styleId="103">
    <w:name w:val="Grid Table 7 Colorful - Accent 6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tcBorders>
          <w:top w:val="none"/>
          <w:left w:val="none"/>
          <w:bottom w:val="none"/>
          <w:right w:val="single" w:color="000000" w:themeColor="accent6" w:themeTint="90" w:sz="4" w:space="0"/>
        </w:tcBorders>
        <w:shd w:color="ffffff"/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tcBorders>
          <w:top w:val="none"/>
          <w:left w:val="none"/>
          <w:bottom w:val="single" w:color="000000" w:themeColor="accent6" w:themeTint="90" w:sz="4" w:space="0"/>
          <w:right w:val="none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tcBorders>
          <w:top w:val="none"/>
          <w:left w:val="single" w:color="000000" w:themeColor="accent6" w:themeTint="90" w:sz="4" w:space="0"/>
          <w:bottom w:val="none"/>
          <w:right w:val="none"/>
        </w:tcBorders>
        <w:shd w:color="ffffff"/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tcBorders>
          <w:top w:val="single" w:color="000000" w:themeColor="accent6" w:themeTint="90" w:sz="4" w:space="0"/>
          <w:left w:val="none"/>
          <w:bottom w:val="none"/>
          <w:right w:val="none"/>
        </w:tcBorders>
        <w:shd w:val="clear" w:color="ffffff" w:themeColor="light1" w:fill="ffffff" w:themeFill="light1"/>
      </w:tcPr>
    </w:tblStylePr>
  </w:style>
  <w:style w:type="table" w:styleId="104">
    <w:name w:val="List Table 1 Light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text1" w:themeTint="80" w:fill="7f7f7f" w:themeFill="text1" w:themeFillTint="80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text1" w:themeTint="80" w:fill="7f7f7f" w:themeFill="text1" w:themeFillTint="80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text1" w:themeTint="80" w:fill="7f7f7f" w:themeFill="text1" w:themeFillTint="80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text1" w:themeTint="80" w:sz="32" w:space="0"/>
          <w:bottom w:val="single" w:color="000000" w:themeColor="light1" w:sz="12" w:space="0"/>
        </w:tcBorders>
        <w:shd w:val="clear" w:color="ffffff" w:themeColor="text1" w:themeTint="80" w:fill="7f7f7f" w:themeFill="text1" w:themeFillTint="80"/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1" w:fill="4f81bd" w:themeFill="accent1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1" w:fill="4f81bd" w:themeFill="accent1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1" w:fill="4f81bd" w:themeFill="accent1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accent1" w:sz="32" w:space="0"/>
          <w:bottom w:val="single" w:color="000000" w:themeColor="light1" w:sz="12" w:space="0"/>
        </w:tcBorders>
        <w:shd w:val="clear" w:color="ffffff" w:themeColor="accent1" w:fill="4f81bd" w:themeFill="accent1"/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2" w:themeTint="97" w:fill="d99694" w:themeFill="accent2" w:themeFillTint="97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2" w:themeTint="97" w:fill="d99694" w:themeFill="accent2" w:themeFillTint="97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2" w:themeTint="97" w:fill="d99694" w:themeFill="accent2" w:themeFillTint="97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accent2" w:themeTint="97" w:sz="32" w:space="0"/>
          <w:bottom w:val="single" w:color="000000" w:themeColor="light1" w:sz="12" w:space="0"/>
        </w:tcBorders>
        <w:shd w:val="clear" w:color="ffffff" w:themeColor="accent2" w:themeTint="97" w:fill="d99694" w:themeFill="accent2" w:themeFillTint="97"/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3" w:themeTint="98" w:fill="c3d69b" w:themeFill="accent3" w:themeFillTint="98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3" w:themeTint="98" w:fill="c3d69b" w:themeFill="accent3" w:themeFillTint="98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3" w:themeTint="98" w:fill="c3d69b" w:themeFill="accent3" w:themeFillTint="98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accent3" w:themeTint="98" w:sz="32" w:space="0"/>
          <w:bottom w:val="single" w:color="000000" w:themeColor="light1" w:sz="12" w:space="0"/>
        </w:tcBorders>
        <w:shd w:val="clear" w:color="ffffff" w:themeColor="accent3" w:themeTint="98" w:fill="c3d69b" w:themeFill="accent3" w:themeFillTint="98"/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4" w:themeTint="9A" w:fill="b2a1c6" w:themeFill="accent4" w:themeFillTint="9A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4" w:themeTint="9A" w:fill="b2a1c6" w:themeFill="accent4" w:themeFillTint="9A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4" w:themeTint="9A" w:fill="b2a1c6" w:themeFill="accent4" w:themeFillTint="9A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accent4" w:themeTint="9A" w:sz="32" w:space="0"/>
          <w:bottom w:val="single" w:color="000000" w:themeColor="light1" w:sz="12" w:space="0"/>
        </w:tcBorders>
        <w:shd w:val="clear" w:color="ffffff" w:themeColor="accent4" w:themeTint="9A" w:fill="b2a1c6" w:themeFill="accent4" w:themeFillTint="9A"/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5" w:themeTint="9A" w:fill="91cddc" w:themeFill="accent5" w:themeFillTint="9A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5" w:themeTint="9A" w:fill="91cddc" w:themeFill="accent5" w:themeFillTint="9A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5" w:themeTint="9A" w:fill="91cddc" w:themeFill="accent5" w:themeFillTint="9A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accent5" w:themeTint="9A" w:sz="32" w:space="0"/>
          <w:bottom w:val="single" w:color="000000" w:themeColor="light1" w:sz="12" w:space="0"/>
        </w:tcBorders>
        <w:shd w:val="clear" w:color="ffffff" w:themeColor="accent5" w:themeTint="9A" w:fill="91cddc" w:themeFill="accent5" w:themeFillTint="9A"/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6" w:themeTint="98" w:fill="f9bf90" w:themeFill="accent6" w:themeFillTint="98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6" w:themeTint="98" w:fill="f9bf90" w:themeFill="accent6" w:themeFillTint="98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6" w:themeTint="98" w:fill="f9bf90" w:themeFill="accent6" w:themeFillTint="98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accent6" w:themeTint="98" w:sz="32" w:space="0"/>
          <w:bottom w:val="single" w:color="000000" w:themeColor="light1" w:sz="12" w:space="0"/>
        </w:tcBorders>
        <w:shd w:val="clear" w:color="ffffff" w:themeColor="accent6" w:themeTint="98" w:fill="f9bf90" w:themeFill="accent6" w:themeFillTint="98"/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tcBorders>
          <w:top w:val="none"/>
          <w:left w:val="none"/>
          <w:bottom w:val="none"/>
          <w:right w:val="single" w:color="000000" w:themeColor="text1" w:themeTint="80" w:sz="4" w:space="0"/>
        </w:tcBorders>
        <w:shd w:color="ffffff"/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tcBorders>
          <w:top w:val="none"/>
          <w:left w:val="none"/>
          <w:bottom w:val="single" w:color="000000" w:themeColor="text1" w:themeTint="80" w:sz="4" w:space="0"/>
          <w:right w:val="none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tcBorders>
          <w:top w:val="none"/>
          <w:left w:val="single" w:color="000000" w:themeColor="text1" w:themeTint="80" w:sz="4" w:space="0"/>
          <w:bottom w:val="none"/>
          <w:right w:val="none"/>
        </w:tcBorders>
        <w:shd w:color="ffffff"/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tcBorders>
          <w:top w:val="single" w:color="000000" w:themeColor="text1" w:themeTint="80" w:sz="4" w:space="0"/>
          <w:left w:val="none"/>
          <w:bottom w:val="none"/>
          <w:right w:val="none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tcBorders>
          <w:top w:val="none"/>
          <w:left w:val="none"/>
          <w:bottom w:val="none"/>
          <w:right w:val="single" w:color="000000" w:themeColor="accent1" w:sz="4" w:space="0"/>
        </w:tcBorders>
        <w:shd w:color="ffffff"/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tcBorders>
          <w:top w:val="none"/>
          <w:left w:val="none"/>
          <w:bottom w:val="single" w:color="000000" w:themeColor="accent1" w:sz="4" w:space="0"/>
          <w:right w:val="none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tcBorders>
          <w:top w:val="none"/>
          <w:left w:val="single" w:color="000000" w:themeColor="accent1" w:sz="4" w:space="0"/>
          <w:bottom w:val="none"/>
          <w:right w:val="none"/>
        </w:tcBorders>
        <w:shd w:color="ffffff"/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tcBorders>
          <w:top w:val="single" w:color="000000" w:themeColor="accent1" w:sz="4" w:space="0"/>
          <w:left w:val="none"/>
          <w:bottom w:val="none"/>
          <w:right w:val="none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8">
    <w:name w:val="List Table 7 Colorful - Accent 2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tcBorders>
          <w:top w:val="none"/>
          <w:left w:val="none"/>
          <w:bottom w:val="none"/>
          <w:right w:val="single" w:color="000000" w:themeColor="accent2" w:themeTint="97" w:sz="4" w:space="0"/>
        </w:tcBorders>
        <w:shd w:color="ffffff"/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tcBorders>
          <w:top w:val="none"/>
          <w:left w:val="none"/>
          <w:bottom w:val="single" w:color="000000" w:themeColor="accent2" w:themeTint="97" w:sz="4" w:space="0"/>
          <w:right w:val="none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tcBorders>
          <w:top w:val="none"/>
          <w:left w:val="single" w:color="000000" w:themeColor="accent2" w:themeTint="97" w:sz="4" w:space="0"/>
          <w:bottom w:val="none"/>
          <w:right w:val="none"/>
        </w:tcBorders>
        <w:shd w:color="ffffff"/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tcBorders>
          <w:top w:val="single" w:color="000000" w:themeColor="accent2" w:themeTint="97" w:sz="4" w:space="0"/>
          <w:left w:val="none"/>
          <w:bottom w:val="none"/>
          <w:right w:val="none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9">
    <w:name w:val="List Table 7 Colorful - Accent 3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tcBorders>
          <w:top w:val="none"/>
          <w:left w:val="none"/>
          <w:bottom w:val="none"/>
          <w:right w:val="single" w:color="000000" w:themeColor="accent3" w:themeTint="98" w:sz="4" w:space="0"/>
        </w:tcBorders>
        <w:shd w:color="ffffff"/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tcBorders>
          <w:top w:val="none"/>
          <w:left w:val="none"/>
          <w:bottom w:val="single" w:color="000000" w:themeColor="accent3" w:themeTint="98" w:sz="4" w:space="0"/>
          <w:right w:val="none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tcBorders>
          <w:top w:val="none"/>
          <w:left w:val="single" w:color="000000" w:themeColor="accent3" w:themeTint="98" w:sz="4" w:space="0"/>
          <w:bottom w:val="none"/>
          <w:right w:val="none"/>
        </w:tcBorders>
        <w:shd w:color="ffffff"/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tcBorders>
          <w:top w:val="single" w:color="000000" w:themeColor="accent3" w:themeTint="98" w:sz="4" w:space="0"/>
          <w:left w:val="none"/>
          <w:bottom w:val="none"/>
          <w:right w:val="none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50">
    <w:name w:val="List Table 7 Colorful - Accent 4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tcBorders>
          <w:top w:val="none"/>
          <w:left w:val="none"/>
          <w:bottom w:val="none"/>
          <w:right w:val="single" w:color="000000" w:themeColor="accent4" w:themeTint="9A" w:sz="4" w:space="0"/>
        </w:tcBorders>
        <w:shd w:color="ffffff"/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tcBorders>
          <w:top w:val="none"/>
          <w:left w:val="none"/>
          <w:bottom w:val="single" w:color="000000" w:themeColor="accent4" w:themeTint="9A" w:sz="4" w:space="0"/>
          <w:right w:val="none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tcBorders>
          <w:top w:val="none"/>
          <w:left w:val="single" w:color="000000" w:themeColor="accent4" w:themeTint="9A" w:sz="4" w:space="0"/>
          <w:bottom w:val="none"/>
          <w:right w:val="none"/>
        </w:tcBorders>
        <w:shd w:color="ffffff"/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tcBorders>
          <w:top w:val="single" w:color="000000" w:themeColor="accent4" w:themeTint="9A" w:sz="4" w:space="0"/>
          <w:left w:val="none"/>
          <w:bottom w:val="none"/>
          <w:right w:val="none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51">
    <w:name w:val="List Table 7 Colorful - Accent 5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tcBorders>
          <w:top w:val="none"/>
          <w:left w:val="none"/>
          <w:bottom w:val="none"/>
          <w:right w:val="single" w:color="000000" w:themeColor="accent5" w:themeTint="9A" w:sz="4" w:space="0"/>
        </w:tcBorders>
        <w:shd w:color="ffffff"/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tcBorders>
          <w:top w:val="none"/>
          <w:left w:val="none"/>
          <w:bottom w:val="single" w:color="000000" w:themeColor="accent5" w:themeTint="9A" w:sz="4" w:space="0"/>
          <w:right w:val="none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tcBorders>
          <w:top w:val="none"/>
          <w:left w:val="single" w:color="000000" w:themeColor="accent5" w:themeTint="9A" w:sz="4" w:space="0"/>
          <w:bottom w:val="none"/>
          <w:right w:val="none"/>
        </w:tcBorders>
        <w:shd w:color="ffffff"/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tcBorders>
          <w:top w:val="single" w:color="000000" w:themeColor="accent5" w:themeTint="9A" w:sz="4" w:space="0"/>
          <w:left w:val="none"/>
          <w:bottom w:val="none"/>
          <w:right w:val="none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2">
    <w:name w:val="List Table 7 Colorful - Accent 6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tcBorders>
          <w:top w:val="none"/>
          <w:left w:val="none"/>
          <w:bottom w:val="none"/>
          <w:right w:val="single" w:color="000000" w:themeColor="accent6" w:themeTint="98" w:sz="4" w:space="0"/>
        </w:tcBorders>
        <w:shd w:color="ffffff"/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tcBorders>
          <w:top w:val="none"/>
          <w:left w:val="none"/>
          <w:bottom w:val="single" w:color="000000" w:themeColor="accent6" w:themeTint="98" w:sz="4" w:space="0"/>
          <w:right w:val="none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tcBorders>
          <w:top w:val="none"/>
          <w:left w:val="single" w:color="000000" w:themeColor="accent6" w:themeTint="98" w:sz="4" w:space="0"/>
          <w:bottom w:val="none"/>
          <w:right w:val="none"/>
        </w:tcBorders>
        <w:shd w:color="ffffff"/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tcBorders>
          <w:top w:val="single" w:color="000000" w:themeColor="accent6" w:themeTint="98" w:sz="4" w:space="0"/>
          <w:left w:val="none"/>
          <w:bottom w:val="none"/>
          <w:right w:val="none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3">
    <w:name w:val="Lined - Accent"/>
    <w:basedOn w:val="69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69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5">
    <w:name w:val="Lined - Accent 2"/>
    <w:basedOn w:val="69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6">
    <w:name w:val="Lined - Accent 3"/>
    <w:basedOn w:val="69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7">
    <w:name w:val="Lined - Accent 4"/>
    <w:basedOn w:val="69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8">
    <w:name w:val="Lined - Accent 5"/>
    <w:basedOn w:val="69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59">
    <w:name w:val="Lined - Accent 6"/>
    <w:basedOn w:val="69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0">
    <w:name w:val="Bordered &amp; Lined - Accent"/>
    <w:basedOn w:val="69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69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2">
    <w:name w:val="Bordered &amp; Lined - Accent 2"/>
    <w:basedOn w:val="69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3">
    <w:name w:val="Bordered &amp; Lined - Accent 3"/>
    <w:basedOn w:val="69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4">
    <w:name w:val="Bordered &amp; Lined - Accent 4"/>
    <w:basedOn w:val="69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5">
    <w:name w:val="Bordered &amp; Lined - Accent 5"/>
    <w:basedOn w:val="69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6">
    <w:name w:val="Bordered &amp; Lined - Accent 6"/>
    <w:basedOn w:val="69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7">
    <w:name w:val="Bordered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175">
    <w:name w:val="footnote text"/>
    <w:basedOn w:val="687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689"/>
    <w:uiPriority w:val="99"/>
    <w:unhideWhenUsed/>
    <w:rPr>
      <w:vertAlign w:val="superscript"/>
    </w:rPr>
  </w:style>
  <w:style w:type="paragraph" w:styleId="178">
    <w:name w:val="endnote text"/>
    <w:basedOn w:val="687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689"/>
    <w:uiPriority w:val="99"/>
    <w:semiHidden/>
    <w:unhideWhenUsed/>
    <w:rPr>
      <w:vertAlign w:val="superscript"/>
    </w:rPr>
  </w:style>
  <w:style w:type="paragraph" w:styleId="181">
    <w:name w:val="toc 1"/>
    <w:basedOn w:val="687"/>
    <w:next w:val="687"/>
    <w:uiPriority w:val="39"/>
    <w:unhideWhenUsed/>
    <w:pPr>
      <w:spacing w:after="57"/>
      <w:ind w:left="0" w:right="0" w:firstLine="0"/>
    </w:pPr>
  </w:style>
  <w:style w:type="paragraph" w:styleId="182">
    <w:name w:val="toc 2"/>
    <w:basedOn w:val="687"/>
    <w:next w:val="687"/>
    <w:uiPriority w:val="39"/>
    <w:unhideWhenUsed/>
    <w:pPr>
      <w:spacing w:after="57"/>
      <w:ind w:left="283" w:right="0" w:firstLine="0"/>
    </w:pPr>
  </w:style>
  <w:style w:type="paragraph" w:styleId="183">
    <w:name w:val="toc 3"/>
    <w:basedOn w:val="687"/>
    <w:next w:val="687"/>
    <w:uiPriority w:val="39"/>
    <w:unhideWhenUsed/>
    <w:pPr>
      <w:spacing w:after="57"/>
      <w:ind w:left="567" w:right="0" w:firstLine="0"/>
    </w:pPr>
  </w:style>
  <w:style w:type="paragraph" w:styleId="184">
    <w:name w:val="toc 4"/>
    <w:basedOn w:val="687"/>
    <w:next w:val="687"/>
    <w:uiPriority w:val="39"/>
    <w:unhideWhenUsed/>
    <w:pPr>
      <w:spacing w:after="57"/>
      <w:ind w:left="850" w:right="0" w:firstLine="0"/>
    </w:pPr>
  </w:style>
  <w:style w:type="paragraph" w:styleId="185">
    <w:name w:val="toc 5"/>
    <w:basedOn w:val="687"/>
    <w:next w:val="687"/>
    <w:uiPriority w:val="39"/>
    <w:unhideWhenUsed/>
    <w:pPr>
      <w:spacing w:after="57"/>
      <w:ind w:left="1134" w:right="0" w:firstLine="0"/>
    </w:pPr>
  </w:style>
  <w:style w:type="paragraph" w:styleId="186">
    <w:name w:val="toc 6"/>
    <w:basedOn w:val="687"/>
    <w:next w:val="687"/>
    <w:uiPriority w:val="39"/>
    <w:unhideWhenUsed/>
    <w:pPr>
      <w:spacing w:after="57"/>
      <w:ind w:left="1417" w:right="0" w:firstLine="0"/>
    </w:pPr>
  </w:style>
  <w:style w:type="paragraph" w:styleId="187">
    <w:name w:val="toc 7"/>
    <w:basedOn w:val="687"/>
    <w:next w:val="687"/>
    <w:uiPriority w:val="39"/>
    <w:unhideWhenUsed/>
    <w:pPr>
      <w:spacing w:after="57"/>
      <w:ind w:left="1701" w:right="0" w:firstLine="0"/>
    </w:pPr>
  </w:style>
  <w:style w:type="paragraph" w:styleId="188">
    <w:name w:val="toc 8"/>
    <w:basedOn w:val="687"/>
    <w:next w:val="687"/>
    <w:uiPriority w:val="39"/>
    <w:unhideWhenUsed/>
    <w:pPr>
      <w:spacing w:after="57"/>
      <w:ind w:left="1984" w:right="0" w:firstLine="0"/>
    </w:pPr>
  </w:style>
  <w:style w:type="paragraph" w:styleId="189">
    <w:name w:val="toc 9"/>
    <w:basedOn w:val="687"/>
    <w:next w:val="687"/>
    <w:uiPriority w:val="39"/>
    <w:unhideWhenUsed/>
    <w:pPr>
      <w:spacing w:after="57"/>
      <w:ind w:left="2268" w:right="0" w:firstLine="0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687"/>
    <w:next w:val="687"/>
    <w:uiPriority w:val="99"/>
    <w:unhideWhenUsed/>
    <w:pPr>
      <w:spacing w:after="0" w:afterAutospacing="0"/>
    </w:pPr>
  </w:style>
  <w:style w:type="paragraph" w:styleId="687" w:default="1">
    <w:name w:val="Normal"/>
    <w:qFormat/>
    <w:rPr>
      <w:sz w:val="24"/>
      <w:szCs w:val="24"/>
    </w:rPr>
  </w:style>
  <w:style w:type="paragraph" w:styleId="688">
    <w:name w:val="Heading 1"/>
    <w:basedOn w:val="687"/>
    <w:next w:val="687"/>
    <w:qFormat/>
    <w:pPr>
      <w:widowControl w:val="off"/>
      <w:spacing w:before="108" w:after="108"/>
      <w:jc w:val="center"/>
      <w:outlineLvl w:val="0"/>
    </w:pPr>
    <w:rPr>
      <w:rFonts w:ascii="Arial" w:hAnsi="Arial"/>
      <w:b/>
      <w:bCs/>
      <w:color w:val="26282f"/>
    </w:rPr>
  </w:style>
  <w:style w:type="character" w:styleId="689" w:default="1">
    <w:name w:val="Default Paragraph Font"/>
    <w:uiPriority w:val="1"/>
    <w:semiHidden/>
    <w:unhideWhenUsed/>
  </w:style>
  <w:style w:type="table" w:styleId="690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91" w:default="1">
    <w:name w:val="No List"/>
    <w:uiPriority w:val="99"/>
    <w:semiHidden/>
    <w:unhideWhenUsed/>
  </w:style>
  <w:style w:type="paragraph" w:styleId="692">
    <w:name w:val="Header"/>
    <w:basedOn w:val="687"/>
    <w:pPr>
      <w:tabs>
        <w:tab w:val="center" w:pos="4677" w:leader="none"/>
        <w:tab w:val="right" w:pos="9355" w:leader="none"/>
      </w:tabs>
    </w:pPr>
  </w:style>
  <w:style w:type="character" w:styleId="693">
    <w:name w:val="page number"/>
    <w:basedOn w:val="689"/>
  </w:style>
  <w:style w:type="character" w:styleId="694" w:customStyle="1">
    <w:name w:val="Гипертекстовая ссылка"/>
    <w:rPr>
      <w:rFonts w:cs="Times New Roman"/>
      <w:color w:val="106bbe"/>
    </w:rPr>
  </w:style>
  <w:style w:type="character" w:styleId="695" w:customStyle="1">
    <w:name w:val="Font Style11"/>
    <w:rPr>
      <w:rFonts w:ascii="Times New Roman" w:hAnsi="Times New Roman" w:cs="Times New Roman"/>
      <w:sz w:val="22"/>
      <w:szCs w:val="22"/>
    </w:rPr>
  </w:style>
  <w:style w:type="paragraph" w:styleId="696">
    <w:name w:val="Footer"/>
    <w:basedOn w:val="687"/>
    <w:pPr>
      <w:tabs>
        <w:tab w:val="center" w:pos="4677" w:leader="none"/>
        <w:tab w:val="right" w:pos="9355" w:leader="none"/>
      </w:tabs>
    </w:pPr>
  </w:style>
  <w:style w:type="character" w:styleId="697">
    <w:name w:val="Hyperlink"/>
    <w:basedOn w:val="689"/>
    <w:rPr>
      <w:color w:val="0000ff"/>
      <w:u w:val="single"/>
    </w:rPr>
  </w:style>
  <w:style w:type="paragraph" w:styleId="698">
    <w:name w:val="Balloon Text"/>
    <w:basedOn w:val="687"/>
    <w:semiHidden/>
    <w:rPr>
      <w:rFonts w:ascii="Tahoma" w:hAnsi="Tahoma" w:cs="Tahoma"/>
      <w:sz w:val="16"/>
      <w:szCs w:val="16"/>
    </w:rPr>
  </w:style>
  <w:style w:type="character" w:styleId="699" w:customStyle="1">
    <w:name w:val="Цветовое выделение"/>
    <w:rPr>
      <w:b/>
      <w:color w:val="26282f"/>
    </w:rPr>
  </w:style>
  <w:style w:type="paragraph" w:styleId="700" w:customStyle="1">
    <w:name w:val="Нормальный (таблица)"/>
    <w:basedOn w:val="687"/>
    <w:next w:val="687"/>
    <w:pPr>
      <w:widowControl w:val="off"/>
      <w:jc w:val="both"/>
    </w:pPr>
    <w:rPr>
      <w:rFonts w:ascii="Arial" w:hAnsi="Arial"/>
    </w:rPr>
  </w:style>
  <w:style w:type="paragraph" w:styleId="701" w:customStyle="1">
    <w:name w:val="Таблицы (моноширинный)"/>
    <w:basedOn w:val="687"/>
    <w:next w:val="687"/>
    <w:pPr>
      <w:widowControl w:val="off"/>
    </w:pPr>
    <w:rPr>
      <w:rFonts w:ascii="Courier New" w:hAnsi="Courier New" w:cs="Courier New"/>
    </w:rPr>
  </w:style>
  <w:style w:type="paragraph" w:styleId="702" w:customStyle="1">
    <w:name w:val="Прижатый влево"/>
    <w:basedOn w:val="687"/>
    <w:next w:val="687"/>
    <w:pPr>
      <w:widowControl w:val="off"/>
    </w:pPr>
    <w:rPr>
      <w:rFonts w:ascii="Arial" w:hAnsi="Arial"/>
    </w:rPr>
  </w:style>
  <w:style w:type="paragraph" w:styleId="703" w:customStyle="1">
    <w:name w:val="ConsPlusNonformat"/>
    <w:pPr>
      <w:widowControl w:val="off"/>
    </w:pPr>
    <w:rPr>
      <w:rFonts w:ascii="Courier New" w:hAnsi="Courier New" w:cs="Courier New"/>
    </w:rPr>
  </w:style>
  <w:style w:type="paragraph" w:styleId="1_653" w:customStyle="1">
    <w:name w:val="ConsPlusNormal"/>
    <w:pPr>
      <w:keepNext w:val="0"/>
      <w:keepLines w:val="0"/>
      <w:pageBreakBefore w:val="0"/>
      <w:widowControl w:val="off"/>
      <w:suppressLineNumbers w:val="0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hd w:val="nil" w:color="000000"/>
      <w:spacing w:before="0" w:beforeAutospacing="0" w:after="0" w:afterAutospacing="0" w:line="240" w:lineRule="auto"/>
      <w:ind w:left="0" w:right="0" w:firstLine="0"/>
      <w:contextualSpacing w:val="0"/>
      <w:jc w:val="left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0"/>
      <w:highlight w:val="none"/>
      <w:u w:val="none"/>
      <w:vertAlign w:val="baseline"/>
      <w:rtl w:val="0"/>
      <w:cs w:val="0"/>
      <w:lang w:val="en-US" w:eastAsia="zh-CN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AFC4D56-BB8F-4806-BBA9-BA00312A1C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Р7-Офис/2024.4.1.625</Application>
  <Company>SamForum.ws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ИЗВЕЩЕНИЕ</dc:title>
  <dc:creator>soc45</dc:creator>
  <cp:revision>190</cp:revision>
  <dcterms:created xsi:type="dcterms:W3CDTF">2021-08-27T12:48:00Z</dcterms:created>
  <dcterms:modified xsi:type="dcterms:W3CDTF">2025-07-01T14:45:37Z</dcterms:modified>
</cp:coreProperties>
</file>