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57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57"/>
        <w:gridCol w:w="4229"/>
      </w:tblGrid>
      <w:tr>
        <w:trPr>
          <w:trHeight w:val="390" w:hRule="atLeast"/>
          <w:cantSplit w:val="true"/>
        </w:trPr>
        <w:tc>
          <w:tcPr>
            <w:tcW w:w="4184" w:type="dxa"/>
            <w:tcBorders/>
          </w:tcPr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687705" cy="68770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285" t="-1292" r="-1285" b="-1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687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 xml:space="preserve">         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ЧĂВАШ РЕСПУБЛИКИ</w:t>
            </w:r>
          </w:p>
        </w:tc>
        <w:tc>
          <w:tcPr>
            <w:tcW w:w="1157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229" w:type="dxa"/>
            <w:tcBorders/>
          </w:tcPr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 xml:space="preserve">ЕТĔРНЕ </w:t>
            </w:r>
          </w:p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МУНИЦИПАЛЛӐ ОКРУГĚН</w:t>
            </w:r>
          </w:p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cs="Times New Roman"/>
                <w:b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ЙЫ ШĂНУ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31"/>
              <w:widowControl w:val="false"/>
              <w:ind w:left="0" w:right="-35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10.02.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20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u w:val="single"/>
                <w:shd w:fill="auto" w:val="clear"/>
                <w:lang w:val="ru-RU" w:eastAsia="ru-RU" w:bidi="ar-SA"/>
              </w:rPr>
              <w:t>26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</w:rPr>
              <w:t>г.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 №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104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  <w:t>Етĕрне хули</w:t>
            </w:r>
          </w:p>
        </w:tc>
        <w:tc>
          <w:tcPr>
            <w:tcW w:w="1157" w:type="dxa"/>
            <w:vMerge w:val="continue"/>
            <w:tcBorders/>
          </w:tcPr>
          <w:p>
            <w:pPr>
              <w:pStyle w:val="Normal"/>
              <w:widowControl w:val="false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4229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cs="Times New Roman"/>
                <w:b/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fill="auto" w:val="clear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cs="Times New Roman"/>
                <w:b/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fill="auto" w:val="clear"/>
              </w:rPr>
              <w:t>ЯДРИНСКОГО МУНИЦИПАЛЬНОГО ОКРУГА</w:t>
            </w:r>
          </w:p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31"/>
              <w:widowControl w:val="false"/>
              <w:spacing w:lineRule="auto" w:line="192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31"/>
              <w:widowControl w:val="false"/>
              <w:ind w:left="0" w:right="-35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10.02.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20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single"/>
                <w:shd w:fill="auto" w:val="clear"/>
                <w:lang w:val="ru-RU" w:eastAsia="ru-RU" w:bidi="ar-SA"/>
              </w:rPr>
              <w:t>26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 xml:space="preserve"> г.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 №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104</w:t>
            </w:r>
          </w:p>
          <w:p>
            <w:pPr>
              <w:pStyle w:val="Normal"/>
              <w:widowControl w:val="false"/>
              <w:ind w:left="148" w:right="0" w:hanging="0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ind w:left="0" w:right="4588" w:hanging="0"/>
        <w:jc w:val="both"/>
        <w:rPr>
          <w:rFonts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</w:r>
    </w:p>
    <w:p>
      <w:pPr>
        <w:pStyle w:val="Normal"/>
        <w:ind w:left="0" w:right="4588" w:hanging="0"/>
        <w:jc w:val="both"/>
        <w:rPr>
          <w:rFonts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</w:r>
    </w:p>
    <w:tbl>
      <w:tblPr>
        <w:tblW w:w="9576" w:type="dxa"/>
        <w:jc w:val="left"/>
        <w:tblInd w:w="-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6"/>
        <w:gridCol w:w="4859"/>
      </w:tblGrid>
      <w:tr>
        <w:trPr>
          <w:trHeight w:val="573" w:hRule="atLeast"/>
        </w:trPr>
        <w:tc>
          <w:tcPr>
            <w:tcW w:w="4716" w:type="dxa"/>
            <w:tcBorders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6601" w:leader="none"/>
              </w:tabs>
              <w:spacing w:before="114" w:after="114"/>
              <w:jc w:val="both"/>
              <w:rPr>
                <w:color w:val="000000"/>
                <w:shd w:fill="auto" w:val="clear"/>
              </w:rPr>
            </w:pPr>
            <w:r>
              <w:rPr>
                <w:rFonts w:cs="Times New Roman"/>
                <w:b/>
                <w:color w:val="000000"/>
                <w:spacing w:val="-2"/>
                <w:sz w:val="24"/>
                <w:szCs w:val="24"/>
                <w:shd w:fill="auto" w:val="clear"/>
              </w:rPr>
              <w:t xml:space="preserve">О </w:t>
            </w:r>
            <w:r>
              <w:rPr>
                <w:rFonts w:eastAsia="Times New Roman" w:cs="Times New Roman"/>
                <w:b/>
                <w:color w:val="000000"/>
                <w:spacing w:val="-2"/>
                <w:sz w:val="24"/>
                <w:szCs w:val="24"/>
                <w:shd w:fill="auto" w:val="clear"/>
                <w:lang w:val="ru-RU" w:eastAsia="zh-CN" w:bidi="ar-SA"/>
              </w:rPr>
              <w:t xml:space="preserve">внесении изменений в постановление администрации </w:t>
            </w:r>
            <w:r>
              <w:rPr>
                <w:rFonts w:cs="Times New Roman"/>
                <w:b/>
                <w:color w:val="000000"/>
                <w:spacing w:val="-2"/>
                <w:sz w:val="24"/>
                <w:szCs w:val="24"/>
                <w:shd w:fill="auto" w:val="clear"/>
              </w:rPr>
              <w:t>Ядринского муниципального округа Чувашской Республики от 22 мая 2023 года №539 «Об утверждении муниципальной программы Ядринского муниципального округа Чувашской Республики «Развитие культуры»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6601" w:leader="none"/>
              </w:tabs>
              <w:spacing w:before="114" w:after="114"/>
              <w:jc w:val="both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859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cs="Times New Roman"/>
                <w:b/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fill="auto" w:val="clear"/>
              </w:rPr>
            </w:r>
          </w:p>
        </w:tc>
      </w:tr>
    </w:tbl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lineRule="auto" w:line="240"/>
        <w:ind w:left="0" w:right="0" w:firstLine="56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pacing w:val="-6"/>
          <w:sz w:val="24"/>
          <w:szCs w:val="24"/>
          <w:shd w:fill="auto" w:val="clear"/>
          <w:lang w:val="ru-RU" w:eastAsia="ru-RU"/>
        </w:rPr>
        <w:t xml:space="preserve">В соответствии с решением Собрания депутатов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Ядринского муниципального округа Чувашской Республики от </w:t>
      </w:r>
      <w:r>
        <w:rPr>
          <w:rFonts w:eastAsia="Times New Roman" w:cs="Times New Roman"/>
          <w:b w:val="false"/>
          <w:bCs w:val="false"/>
          <w:color w:val="000000"/>
          <w:spacing w:val="-2"/>
          <w:kern w:val="0"/>
          <w:sz w:val="24"/>
          <w:szCs w:val="24"/>
          <w:shd w:fill="auto" w:val="clear"/>
          <w:lang w:val="ru-RU" w:eastAsia="ru-RU" w:bidi="ar-SA"/>
        </w:rPr>
        <w:t>28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ноября </w:t>
      </w:r>
      <w:r>
        <w:rPr>
          <w:rFonts w:eastAsia="Times New Roman"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 w:bidi="ar-SA"/>
        </w:rPr>
        <w:t>2025 года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№ 01 «О бюджете Ядринского муниципального округа Чувашской Республики на 2026 год и на плановый период 2027 и 2028 годов», администрация  Ядринского муниципального округа Чувашской Республики</w:t>
      </w:r>
      <w:r>
        <w:rPr>
          <w:rFonts w:cs="Times New Roman"/>
          <w:b/>
          <w:bCs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п о с т а н о в л я е т:</w:t>
      </w: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lineRule="auto" w:line="240" w:before="0" w:after="0"/>
        <w:ind w:left="0" w:right="0" w:firstLine="624"/>
        <w:jc w:val="both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1.</w:t>
      </w:r>
      <w:r>
        <w:rPr>
          <w:rFonts w:cs="Times New Roman"/>
          <w:b/>
          <w:bCs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Внести в постановление администрации Ядринского муниципального округа Чувашской Республики от 22 мая 2023 года № 539 «Об утверждении муниципальной программы Ядринского муниципального округа Чувашской Республики «Развитие культуры»  (далее- Постановление) следующие изменения: </w:t>
      </w:r>
    </w:p>
    <w:p>
      <w:p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false"/>
        <w:bidi w:val="0"/>
        <w:spacing w:lineRule="auto" w:line="240"/>
        <w:ind w:left="0" w:right="0" w:firstLine="567"/>
        <w:jc w:val="both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1.1. Приложение к постановлению изложить в новой редакции:</w:t>
      </w:r>
    </w:p>
    <w:p>
      <w:p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false"/>
        <w:bidi w:val="0"/>
        <w:spacing w:lineRule="auto" w:line="240"/>
        <w:ind w:left="0" w:right="0" w:firstLine="567"/>
        <w:jc w:val="right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Приложение №1</w:t>
      </w:r>
    </w:p>
    <w:p>
      <w:pPr>
        <w:pStyle w:val="Normal"/>
        <w:spacing w:before="0" w:after="0"/>
        <w:jc w:val="right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к постановлению администрации</w:t>
      </w:r>
    </w:p>
    <w:p>
      <w:pPr>
        <w:pStyle w:val="Normal"/>
        <w:spacing w:before="0" w:after="0"/>
        <w:jc w:val="right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Ядринского муниципального округа</w:t>
      </w:r>
    </w:p>
    <w:p>
      <w:pPr>
        <w:pStyle w:val="Normal"/>
        <w:spacing w:before="0" w:after="0"/>
        <w:jc w:val="right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Чувашской Республики </w:t>
      </w:r>
    </w:p>
    <w:p>
      <w:pPr>
        <w:pStyle w:val="Normal"/>
        <w:spacing w:before="0" w:after="0"/>
        <w:jc w:val="right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от  </w:t>
      </w:r>
      <w:r>
        <w:rPr>
          <w:rFonts w:cs="Times New Roman"/>
          <w:color w:val="000000"/>
          <w:sz w:val="24"/>
          <w:szCs w:val="24"/>
          <w:u w:val="single"/>
          <w:shd w:fill="auto" w:val="clear"/>
        </w:rPr>
        <w:t xml:space="preserve">           </w:t>
      </w:r>
      <w:r>
        <w:rPr>
          <w:rFonts w:cs="Times New Roman"/>
          <w:color w:val="000000"/>
          <w:sz w:val="24"/>
          <w:szCs w:val="24"/>
          <w:shd w:fill="auto" w:val="clear"/>
        </w:rPr>
        <w:t>20</w:t>
      </w:r>
      <w:r>
        <w:rPr>
          <w:rFonts w:cs="Times New Roman"/>
          <w:color w:val="000000"/>
          <w:sz w:val="24"/>
          <w:szCs w:val="24"/>
          <w:u w:val="none"/>
          <w:shd w:fill="auto" w:val="clear"/>
          <w:lang w:val="ru-RU" w:eastAsia="ru-RU"/>
        </w:rPr>
        <w:t>__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№  </w:t>
      </w:r>
    </w:p>
    <w:p>
      <w:pPr>
        <w:pStyle w:val="Normal"/>
        <w:spacing w:before="0" w:after="0"/>
        <w:jc w:val="right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overflowPunct w:val="true"/>
        <w:bidi w:val="0"/>
        <w:ind w:left="3621" w:right="0" w:firstLine="1840"/>
        <w:jc w:val="right"/>
        <w:textAlignment w:val="baseline"/>
        <w:rPr>
          <w:color w:val="000000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Приложение к постановлению</w:t>
      </w:r>
    </w:p>
    <w:p>
      <w:pPr>
        <w:pStyle w:val="Normal"/>
        <w:widowControl/>
        <w:suppressAutoHyphens w:val="true"/>
        <w:overflowPunct w:val="true"/>
        <w:bidi w:val="0"/>
        <w:ind w:left="3621" w:right="0" w:firstLine="1840"/>
        <w:jc w:val="right"/>
        <w:textAlignment w:val="baseline"/>
        <w:rPr>
          <w:color w:val="000000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администрации Ядринского</w:t>
      </w:r>
    </w:p>
    <w:p>
      <w:pPr>
        <w:pStyle w:val="Normal"/>
        <w:widowControl/>
        <w:suppressAutoHyphens w:val="true"/>
        <w:overflowPunct w:val="true"/>
        <w:bidi w:val="0"/>
        <w:ind w:left="3621" w:right="0" w:firstLine="1840"/>
        <w:jc w:val="right"/>
        <w:textAlignment w:val="baseline"/>
        <w:rPr>
          <w:color w:val="000000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муниципального округа</w:t>
      </w:r>
    </w:p>
    <w:p>
      <w:pPr>
        <w:pStyle w:val="Normal"/>
        <w:widowControl/>
        <w:suppressAutoHyphens w:val="true"/>
        <w:overflowPunct w:val="true"/>
        <w:bidi w:val="0"/>
        <w:ind w:left="3621" w:right="0" w:firstLine="1840"/>
        <w:jc w:val="right"/>
        <w:textAlignment w:val="baseline"/>
        <w:rPr>
          <w:color w:val="000000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Чувашской Республики</w:t>
      </w:r>
    </w:p>
    <w:p>
      <w:pPr>
        <w:pStyle w:val="Normal"/>
        <w:widowControl/>
        <w:suppressAutoHyphens w:val="true"/>
        <w:overflowPunct w:val="true"/>
        <w:bidi w:val="0"/>
        <w:spacing w:before="0" w:after="0"/>
        <w:ind w:left="3621" w:right="0" w:firstLine="1840"/>
        <w:jc w:val="right"/>
        <w:textAlignment w:val="baseline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от  </w:t>
      </w:r>
      <w:r>
        <w:rPr>
          <w:rFonts w:cs="Times New Roman"/>
          <w:color w:val="000000"/>
          <w:sz w:val="24"/>
          <w:szCs w:val="24"/>
          <w:u w:val="single"/>
          <w:shd w:fill="auto" w:val="clear"/>
        </w:rPr>
        <w:t xml:space="preserve">           </w:t>
      </w:r>
      <w:r>
        <w:rPr>
          <w:rFonts w:cs="Times New Roman"/>
          <w:color w:val="000000"/>
          <w:sz w:val="24"/>
          <w:szCs w:val="24"/>
          <w:shd w:fill="auto" w:val="clear"/>
        </w:rPr>
        <w:t>20</w:t>
      </w:r>
      <w:r>
        <w:rPr>
          <w:rFonts w:cs="Times New Roman"/>
          <w:color w:val="000000"/>
          <w:sz w:val="24"/>
          <w:szCs w:val="24"/>
          <w:u w:val="none"/>
          <w:shd w:fill="auto" w:val="clear"/>
          <w:lang w:val="ru-RU" w:eastAsia="ru-RU"/>
        </w:rPr>
        <w:t>__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№       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spacing w:before="0" w:after="0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«Муниципальная программа</w:t>
        <w:br/>
        <w:t>Ядринского муниципального округа Чувашской Республики</w:t>
      </w:r>
    </w:p>
    <w:p>
      <w:pPr>
        <w:pStyle w:val="1"/>
        <w:spacing w:before="0" w:after="0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Normal"/>
        <w:jc w:val="center"/>
        <w:rPr>
          <w:rFonts w:eastAsia="Times New Roman" w:cs="Times New Roman"/>
          <w:color w:val="000000"/>
          <w:sz w:val="24"/>
          <w:szCs w:val="24"/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298"/>
        <w:gridCol w:w="7268"/>
      </w:tblGrid>
      <w:tr>
        <w:trPr/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Ответственный исполнитель: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both"/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>Непосредственный исполнитель: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Начальник отдела по культуре, туризму и архивному делу администрации Ядринского муниципального округа Чувашской Республики</w:t>
            </w:r>
          </w:p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телефон: +783547 22-4-71</w:t>
            </w:r>
          </w:p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электронная почта: yadrin_kult2@cap.ru</w:t>
            </w:r>
          </w:p>
        </w:tc>
      </w:tr>
    </w:tbl>
    <w:p>
      <w:pPr>
        <w:pStyle w:val="1"/>
        <w:widowControl w:val="false"/>
        <w:numPr>
          <w:ilvl w:val="0"/>
          <w:numId w:val="0"/>
        </w:numPr>
        <w:suppressAutoHyphens w:val="true"/>
        <w:overflowPunct w:val="false"/>
        <w:spacing w:before="0" w:after="0"/>
        <w:ind w:left="0" w:hanging="0"/>
        <w:jc w:val="center"/>
        <w:rPr>
          <w:rFonts w:eastAsia="Times New Roman" w:cs="Times New Roman"/>
          <w:color w:val="000000"/>
          <w:sz w:val="24"/>
          <w:szCs w:val="24"/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</w:rPr>
      </w:r>
    </w:p>
    <w:p>
      <w:pPr>
        <w:pStyle w:val="1"/>
        <w:spacing w:before="0" w:after="0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Стратегические приоритеты в сфере реализации муниципальной программы</w:t>
        <w:br/>
        <w:t>Ядринского муниципального округа Чувашской Республики</w:t>
      </w:r>
    </w:p>
    <w:p>
      <w:pPr>
        <w:pStyle w:val="Normal"/>
        <w:spacing w:before="0" w:after="0"/>
        <w:jc w:val="center"/>
        <w:rPr>
          <w:color w:val="000000"/>
          <w:shd w:fill="auto" w:val="clear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shd w:fill="auto" w:val="clear"/>
        </w:rPr>
        <w:t xml:space="preserve"> </w:t>
      </w: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Normal"/>
        <w:jc w:val="center"/>
        <w:rPr>
          <w:color w:val="000000"/>
          <w:shd w:fill="auto" w:val="clear"/>
        </w:rPr>
      </w:pPr>
      <w:r>
        <w:rPr>
          <w:rFonts w:cs="Times New Roman"/>
          <w:b/>
          <w:color w:val="000000"/>
          <w:sz w:val="24"/>
          <w:szCs w:val="24"/>
          <w:shd w:fill="auto" w:val="clear"/>
        </w:rPr>
        <w:t>(далее – Муниципальная программа)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numPr>
          <w:ilvl w:val="0"/>
          <w:numId w:val="0"/>
        </w:numPr>
        <w:spacing w:before="0" w:after="0"/>
        <w:ind w:left="0" w:right="0" w:hanging="0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I. Оценка текущего состояния сферы реализации Муниципальной программы</w:t>
      </w:r>
    </w:p>
    <w:p>
      <w:pPr>
        <w:pStyle w:val="Normal"/>
        <w:jc w:val="both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794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В настоящее время в Ядринско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м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муниципально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м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округе Чувашской Республики  сложились необходимые социальные, экономические, политические предпосылки для перехода к устойчивому развитию сферы культуры. Накопленный на сегодняшний момент потенциал культуры требует системных преобразований.</w:t>
      </w:r>
    </w:p>
    <w:p>
      <w:pPr>
        <w:pStyle w:val="Normal"/>
        <w:widowControl/>
        <w:suppressAutoHyphens w:val="true"/>
        <w:bidi w:val="0"/>
        <w:ind w:left="0" w:right="0" w:firstLine="794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Развитие сферы культуры города в направлении ее оптимизации и модернизации, творческого и технологического совершенствования, повышения роли культуры в воспитании, просвещении и обеспечении досуга жителей города Ядринского муниципального округа является одним из рычагов повышения уровня качества жизни в городе.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color w:val="000000"/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 xml:space="preserve">Соисполнителями муниципальной </w:t>
      </w:r>
      <w:r>
        <w:rPr>
          <w:rFonts w:cs="Times New Roman"/>
          <w:color w:val="000000"/>
          <w:sz w:val="24"/>
          <w:szCs w:val="24"/>
          <w:shd w:fill="auto" w:val="clear"/>
        </w:rPr>
        <w:t>программы, подведомственны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е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отделу культуры администрации Ядринского муниципального округа, являются:</w:t>
      </w:r>
    </w:p>
    <w:p>
      <w:pPr>
        <w:pStyle w:val="Normal"/>
        <w:widowControl w:val="false"/>
        <w:numPr>
          <w:ilvl w:val="0"/>
          <w:numId w:val="3"/>
        </w:numPr>
        <w:snapToGrid w:val="false"/>
        <w:spacing w:lineRule="auto" w:line="240" w:before="0" w:after="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МБУ «Централизованная библиотечная система»;</w:t>
      </w:r>
    </w:p>
    <w:p>
      <w:pPr>
        <w:pStyle w:val="Normal"/>
        <w:widowControl w:val="false"/>
        <w:numPr>
          <w:ilvl w:val="0"/>
          <w:numId w:val="3"/>
        </w:numPr>
        <w:snapToGrid w:val="false"/>
        <w:spacing w:lineRule="auto" w:line="240" w:before="0" w:after="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МАУ «Централизованная клубная система»;</w:t>
      </w:r>
    </w:p>
    <w:p>
      <w:pPr>
        <w:pStyle w:val="Style30"/>
        <w:widowControl w:val="false"/>
        <w:numPr>
          <w:ilvl w:val="0"/>
          <w:numId w:val="3"/>
        </w:numPr>
        <w:suppressAutoHyphens w:val="true"/>
        <w:bidi w:val="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МБУ «Централизованная музейная система».</w:t>
      </w:r>
    </w:p>
    <w:p>
      <w:pPr>
        <w:pStyle w:val="Default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Реализуется федеральная программа «Пушкинская карта», направленная на социальную поддержку молодежи в возрасте от 14 до 22 лет, в целях повышения доступности организаций культуры. Все учреждения культуры Ядринско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ru-RU" w:eastAsia="zh-CN" w:bidi="ar-SA"/>
        </w:rPr>
        <w:t>го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муниципально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ru-RU" w:eastAsia="zh-CN" w:bidi="ar-SA"/>
        </w:rPr>
        <w:t>го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округа являются активными участниками проекта.</w:t>
      </w:r>
    </w:p>
    <w:p>
      <w:pPr>
        <w:pStyle w:val="Default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 и искусства.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Требуются дополнительные меры, направленные на поддержку развития национальной культуры и языка.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Основными неуправляемыми рисками являются растущая нестабильность и неопределенность в мировой экономике.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Российской Федерации.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numPr>
          <w:ilvl w:val="0"/>
          <w:numId w:val="0"/>
        </w:numPr>
        <w:spacing w:before="0" w:after="0"/>
        <w:ind w:left="0" w:right="0" w:hanging="0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II. Стратегические приоритеты и цели государственной политики в сфере реализации Муниципальной программы</w:t>
      </w:r>
    </w:p>
    <w:p>
      <w:pPr>
        <w:pStyle w:val="Default"/>
        <w:ind w:left="0" w:righ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3">
        <w:r>
          <w:rPr>
            <w:rFonts w:cs="Times New Roman"/>
            <w:color w:val="000000"/>
            <w:sz w:val="24"/>
            <w:szCs w:val="24"/>
            <w:shd w:fill="auto" w:val="clear"/>
          </w:rPr>
          <w:t>Основы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законодательства Российской Федерации о культуре от 9 октября 1992 г. № 3612-1;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4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19 декабря 2012 г. № 1666 «О Стратегии государственной национальной политики Российской Федерации на период до 2025 года»;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5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24 декабря 2014 г. № 808 «Об утверждении Основ государственной культурной политики»;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6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7 мая 2018 г. № 204 «О национальных целях и стратегических задачах развития Российской Федерации на период до 2024 года»;</w:t>
      </w:r>
    </w:p>
    <w:p>
      <w:p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false"/>
        <w:bidi w:val="0"/>
        <w:spacing w:lineRule="auto" w:line="240"/>
        <w:ind w:left="0" w:right="0" w:firstLine="567"/>
        <w:jc w:val="both"/>
        <w:rPr>
          <w:color w:val="000000"/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-2"/>
          <w:kern w:val="0"/>
          <w:sz w:val="24"/>
          <w:szCs w:val="24"/>
          <w:shd w:fill="auto" w:val="clear"/>
          <w:lang w:val="ru-RU" w:eastAsia="ru-RU" w:bidi="ar-SA"/>
        </w:rPr>
        <w:t xml:space="preserve">    </w:t>
      </w:r>
      <w:r>
        <w:rPr>
          <w:rFonts w:eastAsia="Times New Roman" w:cs="Times New Roman"/>
          <w:b w:val="false"/>
          <w:bCs w:val="false"/>
          <w:color w:val="000000"/>
          <w:spacing w:val="-2"/>
          <w:kern w:val="0"/>
          <w:sz w:val="24"/>
          <w:szCs w:val="24"/>
          <w:shd w:fill="auto" w:val="clear"/>
          <w:lang w:val="ru-RU" w:eastAsia="ru-RU" w:bidi="ar-SA"/>
        </w:rPr>
        <w:t>Указа Президента Российской Федерации от 07 мая 2024 г. № 309 «О национальных целях развития Российской Федерации на период до 2030 года и на перспективу до 2036 года;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7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2 июля 2021 г. № 400 «О Стратегии национальной безопасности Российской Федерации»;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>П</w:t>
      </w:r>
      <w:hyperlink r:id="rId8">
        <w:r>
          <w:rPr>
            <w:rFonts w:cs="Times New Roman"/>
            <w:color w:val="000000"/>
            <w:sz w:val="24"/>
            <w:szCs w:val="24"/>
            <w:shd w:fill="auto" w:val="clear"/>
          </w:rPr>
          <w:t>остановление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Правительства Российской Федерации от 15 апреля 2014 г. № 317 «Об утверждении государственной программы Российской Федерации "Развитие культуры»;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>П</w:t>
      </w:r>
      <w:hyperlink r:id="rId9">
        <w:r>
          <w:rPr>
            <w:rFonts w:cs="Times New Roman"/>
            <w:color w:val="000000"/>
            <w:sz w:val="24"/>
            <w:szCs w:val="24"/>
            <w:shd w:fill="auto" w:val="clear"/>
          </w:rPr>
          <w:t>остановление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Правительства Российской Федерации от 26 мая 2021 г. № 786 «О системе управления государственными программами Российской Федерации»;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Распоряжение Правительства Российской Федерации от 11 сентября 2024 г. № 2501-р «Об утверждении Стратегии государственной культурной политики на период  до 2030 года»;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10">
        <w:r>
          <w:rPr>
            <w:rFonts w:cs="Times New Roman"/>
            <w:color w:val="000000"/>
            <w:sz w:val="24"/>
            <w:szCs w:val="24"/>
            <w:shd w:fill="auto" w:val="clear"/>
          </w:rPr>
          <w:t>Закон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Чувашской Республики от 27 мая 1993 г. «О культуре»;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11">
        <w:r>
          <w:rPr>
            <w:rFonts w:cs="Times New Roman"/>
            <w:color w:val="000000"/>
            <w:sz w:val="24"/>
            <w:szCs w:val="24"/>
            <w:shd w:fill="auto" w:val="clear"/>
          </w:rPr>
          <w:t>Закон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Чувашской Республики от 26 ноября 2020 г. № 102 «О Стратегии социально-экономического развития Чувашской Республики до 2035 года»;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ежегодные послания Главы Чувашской Республики Государственному Совету Чувашской Республики. 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Приоритетными направлениями развития отрасли культуры являются: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bookmarkStart w:id="0" w:name="sub_10021"/>
      <w:bookmarkEnd w:id="0"/>
      <w:r>
        <w:rPr>
          <w:rFonts w:cs="Times New Roman"/>
          <w:color w:val="000000"/>
          <w:sz w:val="24"/>
          <w:szCs w:val="24"/>
          <w:shd w:fill="auto" w:val="clear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bookmarkStart w:id="1" w:name="sub_100211"/>
      <w:bookmarkStart w:id="2" w:name="sub_10022"/>
      <w:bookmarkEnd w:id="1"/>
      <w:bookmarkEnd w:id="2"/>
      <w:r>
        <w:rPr>
          <w:rFonts w:cs="Times New Roman"/>
          <w:color w:val="000000"/>
          <w:sz w:val="24"/>
          <w:szCs w:val="24"/>
          <w:shd w:fill="auto" w:val="clear"/>
        </w:rPr>
        <w:t>2)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bookmarkStart w:id="3" w:name="sub_100221"/>
      <w:bookmarkStart w:id="4" w:name="sub_10023"/>
      <w:bookmarkEnd w:id="3"/>
      <w:bookmarkEnd w:id="4"/>
      <w:r>
        <w:rPr>
          <w:rFonts w:cs="Times New Roman"/>
          <w:color w:val="000000"/>
          <w:sz w:val="24"/>
          <w:szCs w:val="24"/>
          <w:shd w:fill="auto" w:val="clear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bookmarkStart w:id="5" w:name="sub_100231"/>
      <w:bookmarkStart w:id="6" w:name="sub_10024"/>
      <w:bookmarkEnd w:id="5"/>
      <w:bookmarkEnd w:id="6"/>
      <w:r>
        <w:rPr>
          <w:rFonts w:cs="Times New Roman"/>
          <w:color w:val="000000"/>
          <w:sz w:val="24"/>
          <w:szCs w:val="24"/>
          <w:shd w:fill="auto" w:val="clear"/>
        </w:rPr>
        <w:t>4) модернизация учреждений культуры в Чувашской Республике с целью повышения качества и разнообразия услуг культуры, формирования кадров нового поколения;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bookmarkStart w:id="7" w:name="sub_100241"/>
      <w:bookmarkEnd w:id="7"/>
      <w:r>
        <w:rPr>
          <w:rFonts w:cs="Times New Roman"/>
          <w:color w:val="000000"/>
          <w:sz w:val="24"/>
          <w:szCs w:val="24"/>
          <w:shd w:fill="auto" w:val="clear"/>
        </w:rPr>
        <w:t>5) финансовое, организационное и правовое обеспечение деятельности отрасли культуры.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z w:val="24"/>
          <w:szCs w:val="24"/>
          <w:shd w:fill="auto" w:val="clear"/>
        </w:rPr>
        <w:t>Целями Муниципальной программы являются: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1 - увеличение числа посещений мероприятий организаций культуры;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2 - повышение вовлеченности граждан в деятельность в сфере культуры, в том числе творческих инициатив и проектов;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3 -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4 -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отношений.</w:t>
      </w:r>
    </w:p>
    <w:p>
      <w:pPr>
        <w:pStyle w:val="Default"/>
        <w:ind w:left="0" w:right="0" w:firstLine="567"/>
        <w:jc w:val="center"/>
        <w:rPr>
          <w:rFonts w:ascii="Times New Roman" w:hAnsi="Times New Roman" w:cs="Times New Roman"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</w:r>
    </w:p>
    <w:p>
      <w:pPr>
        <w:pStyle w:val="1"/>
        <w:numPr>
          <w:ilvl w:val="0"/>
          <w:numId w:val="0"/>
        </w:numPr>
        <w:spacing w:before="0" w:after="0"/>
        <w:ind w:left="0" w:right="0" w:hanging="0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>Муниципальная программа направлена на достижение следующих стратегических приоритето</w:t>
      </w:r>
      <w:r>
        <w:rPr>
          <w:rFonts w:cs="Times New Roman"/>
          <w:color w:val="000000"/>
          <w:sz w:val="24"/>
          <w:szCs w:val="24"/>
          <w:u w:val="none"/>
          <w:shd w:fill="auto" w:val="clear"/>
        </w:rPr>
        <w:t xml:space="preserve">в </w:t>
      </w:r>
      <w:hyperlink r:id="rId12">
        <w:r>
          <w:rPr>
            <w:rFonts w:cs="Times New Roman"/>
            <w:color w:val="000000"/>
            <w:sz w:val="24"/>
            <w:szCs w:val="24"/>
            <w:u w:val="none"/>
            <w:shd w:fill="auto" w:val="clear"/>
          </w:rPr>
          <w:t>государственной программы</w:t>
        </w:r>
      </w:hyperlink>
      <w:r>
        <w:rPr>
          <w:rFonts w:cs="Times New Roman"/>
          <w:color w:val="000000"/>
          <w:sz w:val="24"/>
          <w:szCs w:val="24"/>
          <w:u w:val="none"/>
          <w:shd w:fill="auto" w:val="clear"/>
        </w:rPr>
        <w:t xml:space="preserve"> Российской Федерации «Развитие культуры»: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продвижение статуса культуры как национального приоритета, укрепление позиций государства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 единого культурного пространства на основе духовно-нравственных ценностей и исторических традиций народа России как фактора национальной безопасности и территориальной целостности России;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формирование и реализация ценностно ориентированной государственной культурной политики, предусматривающей распространение традиционных для российского общества ценностей;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обеспечение максимальной доступности для широких слоев населения лучших образцов культуры и искусства;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стимулирование повышения качества и разнообразия культурной жизни в малых, удаленных, сельских населенных пунктах, разработка и реализация программ поддержки их культурной инфраструктуры;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цифровая трансформация сферы культуры, обеспечение инновационного развития сферы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необходимых условий для активизации инвестиционной деятельности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модернизация материально-технической базы учреждений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совершенствование системы подготовки кадров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совершенствование системы художественного образования.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Муниципальная программа направлена на достижение следующих стратегических целей </w:t>
      </w:r>
      <w:hyperlink r:id="rId13">
        <w:r>
          <w:rPr>
            <w:rFonts w:cs="Times New Roman"/>
            <w:color w:val="000000"/>
            <w:sz w:val="24"/>
            <w:szCs w:val="24"/>
            <w:shd w:fill="auto" w:val="clear"/>
          </w:rPr>
          <w:t>государственной программы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Чувашской Республики «Развитие культуры»: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укрепление гражданской идентичности;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воспитания граждан;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 исторического и культурного наследия и его использование для воспитания и образования;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реализации каждым человеком его творческого потенциала;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обеспечение доступа граждан к знаниям, информации, культурным ценностям и благам.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bidi w:val="0"/>
        <w:spacing w:before="0" w:after="0"/>
        <w:ind w:left="510" w:right="0" w:firstLine="454"/>
        <w:jc w:val="center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IV. Задачи муниципального управления и способы их эффективного решения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Для достижения целей Муниципальной программы предусматривается реализация следующих задач: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 культурного и исторического наследия;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условий, сохранение и развитие искусства, образования и творчества;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реализации творческого потенциала нации;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системы поддержки развития креативного сектора;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обеспечение качественно нового уровня развития инфраструктуры;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сохранение, использование, популяризация и государственная охрана объектов культурного наследия;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цифровизация услуг и формирование информационного пространства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создание условий для сохранения, изучения и развития 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рус</w:t>
      </w:r>
      <w:r>
        <w:rPr>
          <w:rFonts w:cs="Times New Roman"/>
          <w:color w:val="000000"/>
          <w:sz w:val="24"/>
          <w:szCs w:val="24"/>
          <w:shd w:fill="auto" w:val="clear"/>
        </w:rPr>
        <w:t>ского языка;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сохранения, изучения и развития чувашского языка.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Достижение задач Государственной программы планируется осуществить за счет: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вовлечения граждан в культурную деятельность, создания культурных продуктов;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модернизации и реновации учреждений культуры;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развития народного творчества и культурно-досуговой деятельности населения;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внедрения цифровых технологий в учреждениях культуры;</w:t>
      </w:r>
    </w:p>
    <w:p>
      <w:pPr>
        <w:sectPr>
          <w:headerReference w:type="default" r:id="rId14"/>
          <w:type w:val="nextPage"/>
          <w:pgSz w:w="11906" w:h="16838"/>
          <w:pgMar w:left="1180" w:right="1065" w:header="1134" w:top="1191" w:footer="0" w:bottom="1134" w:gutter="0"/>
          <w:pgNumType w:fmt="decimal"/>
          <w:formProt w:val="false"/>
          <w:textDirection w:val="lrTb"/>
          <w:docGrid w:type="default" w:linePitch="600" w:charSpace="32768"/>
        </w:sect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false"/>
        <w:bidi w:val="0"/>
        <w:spacing w:lineRule="auto" w:line="240"/>
        <w:ind w:left="0" w:right="0" w:firstLine="567"/>
        <w:jc w:val="both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Чувашской Республике.</w:t>
      </w:r>
    </w:p>
    <w:p>
      <w:pPr>
        <w:pStyle w:val="Normal"/>
        <w:spacing w:before="0" w:after="0"/>
        <w:ind w:left="0" w:right="0" w:hanging="0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Паспорт </w:t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Муниципальн</w:t>
      </w:r>
      <w:r>
        <w:rPr>
          <w:rFonts w:eastAsia="Calibri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ой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программ</w:t>
      </w:r>
      <w:r>
        <w:rPr>
          <w:rFonts w:eastAsia="Calibri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ы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Ядринского муниципального округа Чувашской Республики</w:t>
      </w:r>
    </w:p>
    <w:p>
      <w:pPr>
        <w:pStyle w:val="Style40"/>
        <w:numPr>
          <w:ilvl w:val="0"/>
          <w:numId w:val="0"/>
        </w:numPr>
        <w:ind w:left="0" w:right="0" w:hanging="0"/>
        <w:jc w:val="center"/>
        <w:outlineLvl w:val="1"/>
        <w:rPr>
          <w:color w:val="000000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color w:val="000000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1. Основные положения</w:t>
      </w:r>
    </w:p>
    <w:tbl>
      <w:tblPr>
        <w:tblW w:w="14663" w:type="dxa"/>
        <w:jc w:val="left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32"/>
        <w:gridCol w:w="8530"/>
      </w:tblGrid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Куратор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0" w:right="0" w:hanging="0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Начальник отдела по культуре, туризму и архивному делу администрации Ядринского муниципального округа Чувашской Республики.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Ответственный исполнитель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color w:val="000000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color w:val="000000"/>
                <w:sz w:val="24"/>
                <w:szCs w:val="24"/>
                <w:shd w:fill="auto" w:val="clear"/>
              </w:rPr>
              <w:t xml:space="preserve"> Чувашской Республики.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Соисполнители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МБУ «Централизованная библиотечная система»,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МАУ «Централизованная клубная система»,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МБУ «Централизованная музейная система».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Участники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  <w:t>Отдел цифрового развития и информационных технологий администрации Ядринского муниципального округа Чувашской Республики;</w:t>
            </w:r>
          </w:p>
          <w:p>
            <w:pPr>
              <w:pStyle w:val="321"/>
              <w:widowControl w:val="false"/>
              <w:snapToGrid w:val="false"/>
              <w:ind w:left="0" w:right="0" w:hanging="0"/>
              <w:rPr>
                <w:rFonts w:ascii="Times New Roman" w:hAnsi="Times New Roman" w:cs="Times New Roman"/>
                <w:color w:val="000000"/>
                <w:spacing w:val="-2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  <w:lang w:val="ru-RU"/>
              </w:rPr>
              <w:t xml:space="preserve">Отдел правового обеспечения 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</w:rPr>
              <w:t>администрации Ядринско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  <w:lang w:val="ru-RU"/>
              </w:rPr>
              <w:t>го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  <w:lang w:val="ru-RU"/>
              </w:rPr>
              <w:t>муниципального округа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</w:rPr>
              <w:t xml:space="preserve"> Чувашской Республики;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  <w:t>Отдел экономики и инвестиционной деятельности администрации  Ядринского муниципального округа Чувашской Республики.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Направления (подпрограммы)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1 «Развитие деятельности организаций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2 «Вовлечение граждан в деятельность в сфере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3 «Развитие культурной инфраструктуры»;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4 «Реализация муниципальной национальной политики в Чувашской Республике»;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5 «Внедрение цифровых технологий в сфере культуры».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1 «Увеличение числа посещений мероприятий организаций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2 «Повышение вовлеченности граждан в деятельность в сфере культуры, в том числе поддержка творческих инициатив и проектов»;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3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4 «Укрепление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82,5% к концу 2035 года».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Цель 5 «Увеличение обращений к цифровым ресурсам».  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Сроки и этапы реализации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20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23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 - 2035 годы: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I этап: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2023 -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202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en-US"/>
              </w:rPr>
              <w:t>5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 годы;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II этап: 202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6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- 2030 годы;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III этап: 2031 - 2035 годы.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Прогнозируемый объем финансирования Муниципальной программы в 2023–2035 годах составляет 1004075,3 тыс. рублей, в том числе: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в 2023 году – 54754,6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в 2024 году – 85428,5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в 2025 году – 100081,8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2026 году – 100662,4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2027 году – 89279,2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2028 году –  71733,6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2029–2030 годах – 143467,2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2031–2035 годах – 358668,0 тыс. рублей.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также - Стратегия до 2035 года), муниципальной программой Российской Федерации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Государственная программа Российской Федерации «Развитие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государственная программа Российской Федерации «Реализация муниципальной национальной политики».</w:t>
            </w:r>
          </w:p>
        </w:tc>
      </w:tr>
    </w:tbl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</w:r>
    </w:p>
    <w:p>
      <w:pPr>
        <w:sectPr>
          <w:headerReference w:type="default" r:id="rId15"/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color w:val="000000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2. Показатели Муниципальной программы</w:t>
      </w:r>
    </w:p>
    <w:tbl>
      <w:tblPr>
        <w:tblW w:w="14813" w:type="dxa"/>
        <w:jc w:val="left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6"/>
        <w:gridCol w:w="1813"/>
        <w:gridCol w:w="742"/>
        <w:gridCol w:w="708"/>
        <w:gridCol w:w="674"/>
        <w:gridCol w:w="674"/>
        <w:gridCol w:w="751"/>
        <w:gridCol w:w="729"/>
        <w:gridCol w:w="724"/>
        <w:gridCol w:w="723"/>
        <w:gridCol w:w="726"/>
        <w:gridCol w:w="723"/>
        <w:gridCol w:w="724"/>
        <w:gridCol w:w="1433"/>
        <w:gridCol w:w="1232"/>
        <w:gridCol w:w="1135"/>
        <w:gridCol w:w="646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Уровень показателя </w:t>
            </w:r>
            <w:hyperlink r:id="rId16">
              <w:r>
                <w:rPr>
                  <w:rFonts w:cs="Times New Roman"/>
                  <w:color w:val="000000"/>
                  <w:sz w:val="20"/>
                  <w:szCs w:val="20"/>
                  <w:shd w:fill="auto" w:val="clear"/>
                </w:rPr>
                <w:t>&lt;1&gt;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Единица измерения (по ОКЕИ)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Значения показателя по годам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Документ</w:t>
            </w:r>
          </w:p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национальных целей развития, целей Стратегии до 2035 года</w:t>
            </w:r>
          </w:p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strike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2027 - 2030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4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17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41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Цель 1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«Увеличение числа посещений мероприятий организаций культуры до 44408 тыс. ед. к концу 2035 года»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проведенных мероприятий по комплектованию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региональных и 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ГИИС «Электронный бюджет»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участников клубных формирований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7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посещений общедоступных библиотек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(на 1 жителя в год)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8,2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Посещаемость муниципальных музеев (на 1 жителя в год)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1.7.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культурных мероприятий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тыс. 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17405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21855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28508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31676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1.8.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103,1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83,7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83,7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6,8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88,8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95,0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100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Указ Президента Российской Федерации от 7 мая 2012 г. №  597 «О мероприятиях по реализации муниципальной социальной политики»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1.9.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количества мероприятий, проводимых в общедоступных библиотеках по продвижению чтения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26,5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27,5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27,8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28,5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29,5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1.10.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книговыдачи в Чувашской Республике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1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Цель 2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«Повышение вовлеченности граждан в деятельность в сфере культуры, в том числе поддержка творческих инициатив и проектов»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культурно-массовых мероприятий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2600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2650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434</w:t>
            </w:r>
          </w:p>
          <w:p>
            <w:pPr>
              <w:pStyle w:val="Style30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</w:p>
        </w:tc>
        <w:tc>
          <w:tcPr>
            <w:tcW w:w="141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Цель 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обеспеченности субъектов Чувашской Республики организациями культуры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68,6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69,6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70,7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ГИИС «Электронный бюджет»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91,5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91,6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91,7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ГИИС «Электронный бюджет»</w:t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4.</w:t>
            </w:r>
          </w:p>
        </w:tc>
        <w:tc>
          <w:tcPr>
            <w:tcW w:w="14157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Цель 4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«Укрепление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82,5% к концу 2035 года» </w:t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4.1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4.2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4.3.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81,2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81,3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81,4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81,6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81,7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82,0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82,5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18"/>
                <w:szCs w:val="18"/>
                <w:shd w:fill="auto" w:val="clear"/>
              </w:rPr>
            </w:pPr>
            <w:r>
              <w:rPr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4.4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убывание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4.5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организациями, в сфере государственной национальной политики 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4.6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граждан, принявших участие в мероприятиях в сфере духовно-просветительской деятельности, реализованных в рамках программ социально ориентированных некоммерческих организаций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5.</w:t>
            </w:r>
          </w:p>
        </w:tc>
        <w:tc>
          <w:tcPr>
            <w:tcW w:w="14157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Цель 5  </w:t>
            </w:r>
            <w:r>
              <w:rPr>
                <w:color w:val="000000"/>
                <w:sz w:val="20"/>
                <w:szCs w:val="20"/>
                <w:shd w:fill="auto" w:val="clear"/>
              </w:rPr>
              <w:t>«Увеличение обращений к цифровым ресурсам»</w:t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5.1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Увеличение обращений к цифровым ресурсам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18"/>
                <w:szCs w:val="18"/>
                <w:shd w:fill="auto" w:val="clear"/>
              </w:rPr>
            </w:pPr>
            <w:r>
              <w:rPr>
                <w:color w:val="000000"/>
                <w:sz w:val="18"/>
                <w:szCs w:val="18"/>
                <w:shd w:fill="auto" w:val="clear"/>
              </w:rPr>
              <w:t>раз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 г. N 317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увеличение обращений к цифровым ресурсам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  <w:bookmarkStart w:id="8" w:name="Par1265"/>
      <w:bookmarkStart w:id="9" w:name="Par1265"/>
      <w:bookmarkEnd w:id="9"/>
    </w:p>
    <w:p>
      <w:pPr>
        <w:pStyle w:val="Style40"/>
        <w:spacing w:lineRule="atLeast" w:line="0"/>
        <w:ind w:left="0" w:right="0" w:hanging="0"/>
        <w:rPr>
          <w:color w:val="000000"/>
          <w:shd w:fill="auto" w:val="clear"/>
        </w:rPr>
      </w:pPr>
      <w:r>
        <w:rPr>
          <w:rFonts w:eastAsia="Courier New" w:cs="Courier New" w:ascii="Courier New" w:hAnsi="Courier New"/>
          <w:color w:val="000000"/>
          <w:sz w:val="22"/>
          <w:szCs w:val="22"/>
          <w:shd w:fill="auto" w:val="clear"/>
        </w:rPr>
        <w:t>────────────────</w:t>
      </w:r>
      <w:r>
        <w:rPr>
          <w:rFonts w:eastAsia="Courier New" w:cs="Courier New"/>
          <w:color w:val="000000"/>
          <w:sz w:val="20"/>
          <w:szCs w:val="20"/>
          <w:shd w:fill="auto" w:val="clear"/>
        </w:rPr>
        <w:t>──────────────</w:t>
      </w:r>
    </w:p>
    <w:p>
      <w:pPr>
        <w:pStyle w:val="Style35"/>
        <w:spacing w:lineRule="atLeast" w:line="0"/>
        <w:ind w:left="0" w:right="0" w:firstLine="720"/>
        <w:rPr>
          <w:color w:val="000000"/>
          <w:shd w:fill="auto" w:val="clear"/>
        </w:rPr>
      </w:pPr>
      <w:r>
        <w:rPr>
          <w:color w:val="000000"/>
          <w:position w:val="8"/>
          <w:sz w:val="20"/>
          <w:szCs w:val="20"/>
          <w:shd w:fill="auto" w:val="clear"/>
        </w:rPr>
        <w:t>1</w:t>
      </w:r>
      <w:r>
        <w:rPr>
          <w:color w:val="000000"/>
          <w:sz w:val="20"/>
          <w:szCs w:val="20"/>
          <w:shd w:fill="auto" w:val="clear"/>
        </w:rPr>
        <w:t xml:space="preserve"> Указывается уровень соответствия декомпозированного до Чувашской Республики показателя для государственной программы Чувашской Республики: </w:t>
      </w:r>
    </w:p>
    <w:p>
      <w:pPr>
        <w:pStyle w:val="Style35"/>
        <w:spacing w:lineRule="atLeast" w:line="0"/>
        <w:ind w:left="0" w:right="0" w:firstLine="720"/>
        <w:rPr>
          <w:color w:val="000000"/>
          <w:shd w:fill="auto" w:val="clear"/>
        </w:rPr>
      </w:pPr>
      <w:bookmarkStart w:id="10" w:name="sub_1111"/>
      <w:r>
        <w:rPr>
          <w:color w:val="000000"/>
          <w:sz w:val="20"/>
          <w:szCs w:val="20"/>
          <w:shd w:fill="auto" w:val="clear"/>
        </w:rPr>
        <w:t>"ГП" (государственной программы Чувашской Республики), "ГП РФ" (государственной программы Российской Федерации), "КПМ" (комплекса процессных мероприятий), "ФП" (федерального проекта).</w:t>
      </w:r>
      <w:bookmarkEnd w:id="10"/>
    </w:p>
    <w:p>
      <w:pPr>
        <w:pStyle w:val="Style35"/>
        <w:spacing w:lineRule="atLeast" w:line="0"/>
        <w:ind w:left="0" w:right="0" w:hanging="0"/>
        <w:rPr>
          <w:color w:val="000000"/>
          <w:shd w:fill="auto" w:val="clear"/>
        </w:rPr>
      </w:pPr>
      <w:r>
        <w:rPr>
          <w:rFonts w:eastAsia="Courier New" w:cs="Courier New"/>
          <w:color w:val="000000"/>
          <w:sz w:val="20"/>
          <w:szCs w:val="20"/>
          <w:shd w:fill="auto" w:val="clear"/>
        </w:rPr>
        <w:t>──────────────────────────────</w:t>
      </w:r>
    </w:p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color w:val="000000"/>
          <w:shd w:fill="auto" w:val="clear"/>
        </w:rPr>
      </w:pPr>
      <w:r>
        <w:rPr>
          <w:rFonts w:cs="Times New Roman"/>
          <w:b/>
          <w:bCs/>
          <w:color w:val="000000"/>
          <w:sz w:val="20"/>
          <w:szCs w:val="20"/>
          <w:shd w:fill="auto" w:val="clear"/>
        </w:rPr>
        <w:t xml:space="preserve">3. Структура Муниципальной программы </w:t>
      </w:r>
    </w:p>
    <w:p>
      <w:pPr>
        <w:pStyle w:val="Style30"/>
        <w:jc w:val="both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tbl>
      <w:tblPr>
        <w:tblW w:w="14960" w:type="dxa"/>
        <w:jc w:val="left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8"/>
        <w:gridCol w:w="5224"/>
        <w:gridCol w:w="1961"/>
        <w:gridCol w:w="3426"/>
        <w:gridCol w:w="3560"/>
      </w:tblGrid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</w:t>
            </w:r>
          </w:p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Задачи структурного элемента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1. Направление (подпрограмма) «Развитие деятельности организаций культуры»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Региональный проект «Сохранение культурного и исторического наследия»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Ответственные за реализацию: </w:t>
            </w: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повышен уровень комплектования библиотек, созданы условия для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«Искусство»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«Создание условий для развития народного творчества и культурно-досуговой деятельности населения»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муниципальных домов культуры, оснащенных современным оборудованием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«Наследие»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«Повышение доступности и качества библиотечных услуг»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устойчивого развития муниципальных библиотек,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посещений общедоступных библиотек (на 1 жителя в год)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1.3.2.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«Повышение доступности и качества музейных услуг»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максимально эффективного использования потенциала муниципальных музеев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посещаемость муниципальных музеев (на 1 жителя в год)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«Создание условий для развития искусства и творчества»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 капитальный и текущий ремонт зданий и помещений муниципальных учреждений культуры;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муниципальные учреждения культуры,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культурных мероприятий;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2. Направление (подпрограмма) «Вовлечение граждан в деятельность в сфере культуры»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Региональный проект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«Создание условий для реализации творческого потенциала нации («Творческие люди»)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2.1.2.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«Граждане получают возможность поддержки творческих инициатив, направленных на укрепление российской гражданской идентичности и сохранение духовно-нравственных ценностей народов Российской Федерации»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укрепления российской гражданской идентичности на основе духовно-нравственных и культурных ценностей народов Российской Федерации, созданы культурные продукты как в профессиональной, так и в любительской сфере за счет реализации творческих проектов некоммерческих организаций, всероссийских и международных творческих проектов в области музыкального, театрального и изобразительного искусства. Обеспечена поддержка творческих инициатив, способствующих творческому самовыражению и самореализации широких слоев населения, в первую очередь детей и молодежи, созданы условия для сохранения единого культурного пространства страны, укрепления межрегионального культурного сотрудничества и обмена за счет проведения фестивалей любительских творческих коллективов, фестивалей детского творчества всех жанров. Повышена доступность лучших образцов отечественной и зарубежной культуры, популяризации музейной деятельности за счет проведения выставочных проектов федеральных и региональных музеев в субъектах Российской Федерации. Созданы условия для повышения эффективности деятельности сельских организаций культуры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2.1.3.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3 «Граждане получают дополнительную поддержку со стороны государства в развитии добровольческой (волонтерской) деятельности, что позволяет реализовывать социально значимые проекты в сфере культуры и сохранения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сохранения культурного наследия в масштабах страны за счет проведения программы «Волонтеры культуры», формирования социального института добровольчества, проведения международного лагеря и реализации образовательных программ для волонтеров по направлениям работы в сфере культуры и оказания содействия специалистам на объектах культурного наследия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2.2.1.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укрепления российской гражданской идентичности созданы культурные продукты за счет реализации международных, всероссийских и республиканских творческих проектов в области музыкального, театрального и изобразительного искусства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3. Направление (подпрограмма) «Развитие культурной инфраструктуры»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Региональный проект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«Обеспечение качественно нового уровня развития инфраструктуры («Культурная среда»)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3.1.1.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обеспечено развитие культурной инфраструктуры, улучшено качество культурной среды, созданы условия для увеличения качества и объемов услуг, предоставляемых организациями отрасли культуры населению, вовлечения различных социальных групп в культурную деятельность за счет реконструкции региональных и муниципальных театров юного зрителя и театров кукол, строительства центров культурного развития, реновации федеральных, региональных и муниципальных организаций культуры, реконструкции, капитального ремонта и технического оснащения музеев и др.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материалами. Обеспечен прокат национальных фильмов в населенных пунктах с численностью населения до 500 тыс. человек за счет создания современных кинозалов. Обеспечено развитие культурной инфраструктуры сельских территорий и повышен уровень доступности культурных благ и услуг для жителей сельских поселений за счет создания и модернизации сельских учреждений культурно-досугового типа, приобретения передвижных многофункциональных культурных центров (автоклубов)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Ведомственный проект «Строительство (реконструкция) и модернизация государственных и муниципальных учреждений в сфере культуры, искусства и архивного дела»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3.2.1.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культурно-массовых мероприятий муниципальных учреждений культуры клубного типа;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муниципальных учреждений культуры клубного типа, в которых проведен капитальный ремонт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4. Направление (подпрограмма) «Реализация государственной национальной политики в Чувашской Республике»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4.1.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проведены информационные кампании, направленные на сохранение и развитие межнационального согласия в Ядринском муниципальном округе, укрепление единства российской нации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граждане, положительно оценивающие состояние межнациональных (межэтнических) отношений.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4.2.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2 «Обеспечение взаимодействия с институтами гражданского общества»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реализованы мероприятия по обеспечению совершенствования взаимодействия исполнительных органов </w:t>
            </w: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Ядринского муниципального округа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институтами гражданского общества (в том числе социадьго ориентированных и иных некоммерческих органицаций)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 в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Ядринском муниципальном округе;</w:t>
            </w:r>
          </w:p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граждан, принявших участие в мероприятиях в сфере духовно-просветительской деятельности  в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Ядринском муниципальном округе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4.3.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1900">
              <w:r>
                <w:rPr>
                  <w:color w:val="000000"/>
                  <w:sz w:val="20"/>
                  <w:szCs w:val="20"/>
                  <w:shd w:fill="auto" w:val="clear"/>
                </w:rPr>
                <w:t>Комплекс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процессных мероприятий  «Мониторинг в сфере межнациональных и межконфессиональных отношений»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4.4.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"Эксплуатация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ситуаций"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целях выявления новых рисков и подготовки сценарных прогнозов недопущения конфликтов и (или) их раннего выявления, а также профилактики распространения экстремистской идеологии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4.5.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Структурные элементы, не входящие в направления (подпрограммы)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4.6.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Комплекс процессных мероприятий "Сохранение, изучение и развитие чувашского языка"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4.7.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Задача «Создание условий для реализации эффективной языковой политики, обеспечивающей сохранение, изучение и развитие чувашского языка»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реализованы мероприятия по обучению и воспитанию детей на чувашском языке в учреждениях культуры и  повышение качественного уровня мероприятий на  чувашском языке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участников мероприятий, направленных на сохранение, изучение и развитие чувашского языка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4.8.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реализованы мероприятия по созданию деятельности инженерно-хозяйственного сопровождения муниципальных учреждений культуры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Направление (подпрограмма)  «Внедрение цифровых технологий в сфере культуры»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Региональный проект «Цифровизация услуг и формирование информационного пространства в сфере культуры  («Цифровая культура»)»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06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before="108" w:after="108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5.1.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обеспечено привлечение широкой аудитории к культурным событиям и мероприятиям за счет проведения онлайн-трансляций мероприятий, размещаемых на портале "Культура.РФ". 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число обращений к цифровым ресурсам в сфере культуры;</w:t>
            </w:r>
          </w:p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уровень удовлетворенности граждан  доступностью и качеством услуг организаций культуры.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5.2.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увеличение обращений к цифровым ресурсам</w:t>
            </w:r>
          </w:p>
        </w:tc>
      </w:tr>
    </w:tbl>
    <w:p>
      <w:pPr>
        <w:pStyle w:val="ConsPlusNormal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b/>
          <w:color w:val="000000"/>
          <w:sz w:val="20"/>
          <w:shd w:fill="auto" w:val="clear"/>
        </w:rPr>
        <w:t xml:space="preserve">4. Финансовое обеспечение Муниципальной программы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4963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4"/>
        <w:gridCol w:w="1125"/>
        <w:gridCol w:w="1255"/>
        <w:gridCol w:w="1238"/>
        <w:gridCol w:w="1312"/>
        <w:gridCol w:w="1294"/>
        <w:gridCol w:w="1320"/>
        <w:gridCol w:w="1238"/>
        <w:gridCol w:w="1200"/>
        <w:gridCol w:w="1285"/>
      </w:tblGrid>
      <w:tr>
        <w:trPr>
          <w:trHeight w:val="450" w:hRule="atLeast"/>
        </w:trPr>
        <w:tc>
          <w:tcPr>
            <w:tcW w:w="369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ab/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267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450" w:hRule="atLeast"/>
        </w:trPr>
        <w:tc>
          <w:tcPr>
            <w:tcW w:w="3694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25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1255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1238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312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9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20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38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2029-2030</w:t>
            </w:r>
          </w:p>
        </w:tc>
        <w:tc>
          <w:tcPr>
            <w:tcW w:w="1200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2031-2035</w:t>
            </w:r>
          </w:p>
        </w:tc>
        <w:tc>
          <w:tcPr>
            <w:tcW w:w="1285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255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294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3694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 (всего), в том числе:</w:t>
            </w:r>
          </w:p>
        </w:tc>
        <w:tc>
          <w:tcPr>
            <w:tcW w:w="1125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54754,6</w:t>
            </w:r>
          </w:p>
        </w:tc>
        <w:tc>
          <w:tcPr>
            <w:tcW w:w="1255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85428,5</w:t>
            </w:r>
          </w:p>
        </w:tc>
        <w:tc>
          <w:tcPr>
            <w:tcW w:w="1238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100081,8</w:t>
            </w:r>
          </w:p>
        </w:tc>
        <w:tc>
          <w:tcPr>
            <w:tcW w:w="1312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100662,4</w:t>
            </w:r>
          </w:p>
        </w:tc>
        <w:tc>
          <w:tcPr>
            <w:tcW w:w="1294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89279,2</w:t>
            </w:r>
          </w:p>
        </w:tc>
        <w:tc>
          <w:tcPr>
            <w:tcW w:w="1320" w:type="dxa"/>
            <w:tcBorders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71733,6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238" w:type="dxa"/>
            <w:tcBorders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=G4*2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143467,2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=G4*5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358668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85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1004075,3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6200,0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24850</w:t>
            </w:r>
          </w:p>
        </w:tc>
        <w:tc>
          <w:tcPr>
            <w:tcW w:w="1294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15756,9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46906,9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3826,0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16883,4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10292,6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=E10+E14+E18+E22+E26+E30+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369,8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770,1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609,9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=H26+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1219,8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=I26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3049,5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37021,8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50878,6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62345,1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89739,2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=E11+E19+E23+E27+E31+E35+E39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75442,6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=F11+F15+F19+F23+F27+F31+F35+F39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72752,2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71123,7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=H19+H23+H27+H31+H35+H39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142247,4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=I19+I23+I27+I31+I35+I39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355618,5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920146,6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color w:val="000000"/>
                <w:shd w:fill="auto" w:val="clear"/>
              </w:rPr>
            </w:pPr>
            <w:r>
              <w:rPr>
                <w:rFonts w:cs="Times New Roman"/>
                <w:b/>
                <w:color w:val="000000"/>
                <w:shd w:fill="auto" w:val="clear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5263,2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25352,0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16075,3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46690,5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24850,0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15756,9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=E9:F9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5000,0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159,2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=D10:F10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263,2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159,2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=D11:F11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Муниципальный проект «Развитие искусства и творчества»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  <w:bookmarkStart w:id="11" w:name="_GoBack"/>
            <w:bookmarkEnd w:id="11"/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10,0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10,0</w:t>
            </w:r>
          </w:p>
        </w:tc>
      </w:tr>
      <w:tr>
        <w:trPr>
          <w:trHeight w:val="57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«Искусство»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37540,7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=G16*2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71736,6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=G16*5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179341,5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405483,1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37540,7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=G19*2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71736,6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=G19*5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179341,5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=D19:I19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«Наследие»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26418,3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24789,7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23991,4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=G20*2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47982,8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=G20*5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119957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272436,4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26418,3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24789,7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23991,4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=G23*2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47982,8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=G23*5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119957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272436,4</w:t>
            </w:r>
          </w:p>
        </w:tc>
      </w:tr>
      <w:tr>
        <w:trPr>
          <w:trHeight w:val="57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«Создание условий для развития искусства и творчества»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5544,8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126,4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649,9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648,8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1298,0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3245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=D24:I24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5267,6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118,8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610,9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609,9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=G26*2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1219,8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=G26*5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3049,5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10877,2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277,2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7,6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39,0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38,9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=G27*2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77,8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=G27*5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194,5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635,7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1 000,00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fldChar w:fldCharType="begin"/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instrText> =D28:I28</w:instrText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fldChar w:fldCharType="separate"/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t>0</w:t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fldChar w:fldCharType="begin"/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instrText> =D31:I31</w:instrText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fldChar w:fldCharType="separate"/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t>0</w:t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Основное мероприятие «</w:t>
            </w: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Поддержка детского и юношеского творчества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=G32*5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4000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=D32:I32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4 000,0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=D35:I35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114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«Обеспечение реализации муниципальной программы Чувашской Республики «Развитие культуры»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=G36*2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20450,2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=G36*5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51125,5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=G39*2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20450,2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=G39*5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51125,5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=G39*2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20450,2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=G39*5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51125,5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«Мониторинг в сфере межнациональных и межконфессиональных отношений»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«Цифровая трансформация в сфере культуры»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</w:tbl>
    <w:p>
      <w:pPr>
        <w:pStyle w:val="Normal"/>
        <w:tabs>
          <w:tab w:val="clear" w:pos="708"/>
          <w:tab w:val="left" w:pos="3795" w:leader="none"/>
        </w:tabs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u w:val="none"/>
          <w:shd w:fill="auto" w:val="clear"/>
        </w:rPr>
        <w:t>Паспорт  регионального проекта  «</w:t>
      </w:r>
      <w:r>
        <w:rPr>
          <w:rFonts w:cs="Times New Roman" w:ascii="Times New Roman" w:hAnsi="Times New Roman"/>
          <w:b/>
          <w:color w:val="000000"/>
          <w:sz w:val="24"/>
          <w:szCs w:val="24"/>
          <w:u w:val="none"/>
          <w:shd w:fill="auto" w:val="clear"/>
        </w:rPr>
        <w:t>Семейные ценности и инфраструктура культуры»</w:t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Основные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2" w:name="sub_2011"/>
      <w:bookmarkStart w:id="13" w:name="sub_2011"/>
      <w:bookmarkEnd w:id="13"/>
    </w:p>
    <w:tbl>
      <w:tblPr>
        <w:tblW w:w="15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8"/>
        <w:gridCol w:w="1024"/>
        <w:gridCol w:w="3504"/>
        <w:gridCol w:w="2920"/>
        <w:gridCol w:w="1607"/>
        <w:gridCol w:w="2106"/>
      </w:tblGrid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Краткое наименование регионального проекта</w:t>
            </w:r>
          </w:p>
        </w:tc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b/>
                <w:color w:val="000000"/>
                <w:sz w:val="20"/>
                <w:szCs w:val="20"/>
                <w:shd w:fill="auto" w:val="clear"/>
              </w:rPr>
              <w:t>«Семейные ценности и инфраструктура культуры»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Срок реализации проекта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2023 г.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2035 г.</w:t>
            </w:r>
          </w:p>
        </w:tc>
      </w:tr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Куратор регионального проекта</w:t>
            </w:r>
          </w:p>
        </w:tc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А.М. Иванов</w:t>
            </w:r>
          </w:p>
        </w:tc>
        <w:tc>
          <w:tcPr>
            <w:tcW w:w="6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И.о.заместителя главы по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>
          <w:trHeight w:val="570" w:hRule="atLeast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государственной программой Чувашской Республики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HYPERLINK "../../../../../../../nowch-doc9/nowch-cult1/Downloads/%D0%9F%D0%BE%D1%81%D1%82%D0%B0%D0%BD%D0%BE%D0%B2%D0%BB%D0%B5%D0%BD%D0%B8%D0%B5%20%D0%9A%D0%B0%D0%B1%D0%B8%D0%BD%D0%B5%D1%82%D0%B0%20%D0%9C%D0%B8%D0%BD%D0%B8%D1%81%D1%82%D1%80%D0%BE%D0%B2%20%D0%A7%D1%83%D0%B2%D0%B0%D1%88%D1%81%D0%BA%D0%BE%D0%B9%20%D0%A0%D0%B5%D1%81%D0%BF%D1%83%D0%B1%D0%BB%D0%B8%D0%BA%D0%B8%20%D0%BE%D1%82%2026%20%D0%BE%D0%BA%D1%82%D1%8F%D0%B1%D1%80%D1%8F%202018%20%D0%B3%20N%20434.rtf" \l "sub_1000"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color w:val="000000"/>
                <w:sz w:val="20"/>
                <w:szCs w:val="20"/>
                <w:shd w:fill="auto" w:val="clear"/>
              </w:rPr>
              <w:t>Государственная программа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регионального проекта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4" w:name="sub_2021"/>
      <w:bookmarkStart w:id="15" w:name="sub_2021"/>
      <w:bookmarkEnd w:id="15"/>
    </w:p>
    <w:tbl>
      <w:tblPr>
        <w:tblW w:w="1496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670"/>
        <w:gridCol w:w="977"/>
        <w:gridCol w:w="982"/>
        <w:gridCol w:w="839"/>
        <w:gridCol w:w="841"/>
        <w:gridCol w:w="840"/>
        <w:gridCol w:w="839"/>
        <w:gridCol w:w="841"/>
        <w:gridCol w:w="841"/>
        <w:gridCol w:w="824"/>
        <w:gridCol w:w="1480"/>
        <w:gridCol w:w="929"/>
        <w:gridCol w:w="2349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Показатели регионального проекта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17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Нарастающий итог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 (источник данных)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2031- 2035</w:t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252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Формирование семейных ценностей и укрепление института семей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Уровень удовлетворенности граждан работой организаций культуры, искусства и народного творчества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возрастающий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Мероприятия (результаты) регионального проекта</w:t>
      </w:r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281"/>
        <w:gridCol w:w="993"/>
        <w:gridCol w:w="989"/>
        <w:gridCol w:w="852"/>
        <w:gridCol w:w="906"/>
        <w:gridCol w:w="840"/>
        <w:gridCol w:w="840"/>
        <w:gridCol w:w="841"/>
        <w:gridCol w:w="840"/>
        <w:gridCol w:w="1859"/>
        <w:gridCol w:w="1103"/>
        <w:gridCol w:w="1843"/>
      </w:tblGrid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bookmarkStart w:id="16" w:name="sub_2031"/>
            <w:bookmarkEnd w:id="16"/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18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 мероприятия (результата)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регионального проекта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23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Формирование семейных ценностей укрепление института семей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Уровень удовлетворенности граждан работой организаций культуры, искусства и народного творчества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из федерального бюджета предоставляются субсидии на комплектование книжных фондов библиотек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мероприятий организаций культуры;</w:t>
            </w:r>
          </w:p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удовлетворенности граждан доступностью и качеством услуг организаций культуры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реализации регионального проекта «</w:t>
      </w:r>
      <w:r>
        <w:rPr>
          <w:rFonts w:cs="Times New Roman" w:ascii="Times New Roman" w:hAnsi="Times New Roman"/>
          <w:b/>
          <w:color w:val="000000"/>
          <w:sz w:val="20"/>
          <w:szCs w:val="20"/>
          <w:shd w:fill="auto" w:val="clear"/>
        </w:rPr>
        <w:t>Семейные ценности и инфраструктура культуры»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7"/>
        <w:gridCol w:w="2699"/>
        <w:gridCol w:w="1145"/>
        <w:gridCol w:w="1014"/>
        <w:gridCol w:w="978"/>
        <w:gridCol w:w="932"/>
        <w:gridCol w:w="1137"/>
        <w:gridCol w:w="1022"/>
        <w:gridCol w:w="1345"/>
      </w:tblGrid>
      <w:tr>
        <w:trPr>
          <w:trHeight w:val="330" w:hRule="atLeast"/>
        </w:trPr>
        <w:tc>
          <w:tcPr>
            <w:tcW w:w="4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hyperlink r:id="rId19">
              <w:r>
                <w:rPr>
                  <w:rFonts w:cs="Times New Roman"/>
                  <w:color w:val="000000"/>
                  <w:sz w:val="20"/>
                  <w:szCs w:val="20"/>
                  <w:u w:val="single"/>
                  <w:shd w:fill="auto" w:val="clear"/>
                </w:rPr>
                <w:t>КБК</w:t>
              </w:r>
            </w:hyperlink>
          </w:p>
        </w:tc>
        <w:tc>
          <w:tcPr>
            <w:tcW w:w="75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30" w:hRule="atLeast"/>
        </w:trPr>
        <w:tc>
          <w:tcPr>
            <w:tcW w:w="4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6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698" w:hRule="atLeast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Формирование семейных ценностей, укрепление института семей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</w:tr>
      <w:tr>
        <w:trPr>
          <w:trHeight w:val="7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Проведены мероприятия по ф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  <w:lang w:eastAsia="ru-RU"/>
              </w:rPr>
              <w:t>ормированию семейных ценностей и укреплению института семей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5263,2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25352,0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16075,3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46690,5</w:t>
            </w:r>
          </w:p>
        </w:tc>
      </w:tr>
      <w:tr>
        <w:trPr>
          <w:trHeight w:val="7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24850,0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15756,9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=D6:E6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15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5000,0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159,2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=C7:E7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  <w:tr>
        <w:trPr>
          <w:trHeight w:val="7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263,2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159,2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=C8:E8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муниципальный проект «Развитие искусства и творчества»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Основные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7" w:name="sub_20111"/>
      <w:bookmarkStart w:id="18" w:name="sub_20111"/>
      <w:bookmarkEnd w:id="18"/>
    </w:p>
    <w:tbl>
      <w:tblPr>
        <w:tblW w:w="15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8"/>
        <w:gridCol w:w="1023"/>
        <w:gridCol w:w="3504"/>
        <w:gridCol w:w="2922"/>
        <w:gridCol w:w="1604"/>
        <w:gridCol w:w="2220"/>
      </w:tblGrid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Краткое наименование регионального проекта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b/>
                <w:color w:val="000000"/>
                <w:sz w:val="20"/>
                <w:szCs w:val="20"/>
                <w:shd w:fill="auto" w:val="clear"/>
              </w:rPr>
              <w:t>«Развитие искусства и творчества»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Срок реализации проекта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2023 г.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2035 г.</w:t>
            </w:r>
          </w:p>
        </w:tc>
      </w:tr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Куратор регионального проекта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А.М. Иванов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И.о.заместителя главы по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>
          <w:trHeight w:val="570" w:hRule="atLeast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государственной программой Чувашской Республики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HYPERLINK "../../../../../../../nowch-doc9/nowch-cult1/Downloads/%D0%9F%D0%BE%D1%81%D1%82%D0%B0%D0%BD%D0%BE%D0%B2%D0%BB%D0%B5%D0%BD%D0%B8%D0%B5%20%D0%9A%D0%B0%D0%B1%D0%B8%D0%BD%D0%B5%D1%82%D0%B0%20%D0%9C%D0%B8%D0%BD%D0%B8%D1%81%D1%82%D1%80%D0%BE%D0%B2%20%D0%A7%D1%83%D0%B2%D0%B0%D1%88%D1%81%D0%BA%D0%BE%D0%B9%20%D0%A0%D0%B5%D1%81%D0%BF%D1%83%D0%B1%D0%BB%D0%B8%D0%BA%D0%B8%20%D0%BE%D1%82%2026%20%D0%BE%D0%BA%D1%82%D1%8F%D0%B1%D1%80%D1%8F%202018%20%D0%B3%20N%20434.rtf" \l "sub_1000"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color w:val="000000"/>
                <w:sz w:val="20"/>
                <w:szCs w:val="20"/>
                <w:shd w:fill="auto" w:val="clear"/>
              </w:rPr>
              <w:t>Государственная программа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регионального проекта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9" w:name="sub_20211"/>
      <w:bookmarkStart w:id="20" w:name="sub_20211"/>
      <w:bookmarkEnd w:id="20"/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671"/>
        <w:gridCol w:w="977"/>
        <w:gridCol w:w="981"/>
        <w:gridCol w:w="840"/>
        <w:gridCol w:w="840"/>
        <w:gridCol w:w="840"/>
        <w:gridCol w:w="840"/>
        <w:gridCol w:w="840"/>
        <w:gridCol w:w="841"/>
        <w:gridCol w:w="825"/>
        <w:gridCol w:w="1476"/>
        <w:gridCol w:w="933"/>
        <w:gridCol w:w="2411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Показатели регионального проекта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0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Нарастающий итог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 (источник данных)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2031- 2035</w:t>
            </w:r>
          </w:p>
        </w:tc>
        <w:tc>
          <w:tcPr>
            <w:tcW w:w="14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1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новые возможности для реализации своих творческих способностей»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Повышение привлекательности (популярности) культурных мероприятий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возрастающий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Мероприятия (результаты) регионального проекта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281"/>
        <w:gridCol w:w="993"/>
        <w:gridCol w:w="989"/>
        <w:gridCol w:w="852"/>
        <w:gridCol w:w="906"/>
        <w:gridCol w:w="840"/>
        <w:gridCol w:w="840"/>
        <w:gridCol w:w="841"/>
        <w:gridCol w:w="840"/>
        <w:gridCol w:w="1859"/>
        <w:gridCol w:w="1103"/>
        <w:gridCol w:w="1843"/>
      </w:tblGrid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bookmarkStart w:id="21" w:name="sub_20311"/>
            <w:bookmarkEnd w:id="21"/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1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 мероприятия (результата)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регионального проекта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23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новые возможности для реализации своих творческих способностей»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Повышение привлекательности (популярности) культурных мероприятий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из федерального бюджета предоставляются субсидии на комплектование книжных фондов библиотек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мероприятий организаций культуры;уровень удовлетворенности граждан доступностью и качеством услуг организаций культуры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реализации м</w:t>
      </w:r>
      <w:r>
        <w:rPr>
          <w:rFonts w:cs="Times New Roman" w:ascii="Times New Roman" w:hAnsi="Times New Roman"/>
          <w:b/>
          <w:color w:val="000000"/>
          <w:sz w:val="20"/>
          <w:szCs w:val="20"/>
          <w:shd w:fill="auto" w:val="clear"/>
        </w:rPr>
        <w:t>униципального  проекта «Развитие искусства и творчества»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5"/>
        <w:gridCol w:w="1572"/>
        <w:gridCol w:w="1186"/>
        <w:gridCol w:w="1029"/>
        <w:gridCol w:w="1186"/>
        <w:gridCol w:w="1247"/>
        <w:gridCol w:w="1077"/>
        <w:gridCol w:w="1081"/>
        <w:gridCol w:w="1466"/>
      </w:tblGrid>
      <w:tr>
        <w:trPr>
          <w:trHeight w:val="330" w:hRule="atLeast"/>
        </w:trPr>
        <w:tc>
          <w:tcPr>
            <w:tcW w:w="5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hyperlink r:id="rId22">
              <w:r>
                <w:rPr>
                  <w:rFonts w:cs="Times New Roman"/>
                  <w:color w:val="000000"/>
                  <w:sz w:val="20"/>
                  <w:szCs w:val="20"/>
                  <w:u w:val="single"/>
                  <w:shd w:fill="auto" w:val="clear"/>
                </w:rPr>
                <w:t>КБК</w:t>
              </w:r>
            </w:hyperlink>
          </w:p>
        </w:tc>
        <w:tc>
          <w:tcPr>
            <w:tcW w:w="8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30" w:hRule="atLeast"/>
        </w:trPr>
        <w:tc>
          <w:tcPr>
            <w:tcW w:w="5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698" w:hRule="atLeast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новые возможности для реализации своих творческих способностей»</w:t>
            </w:r>
          </w:p>
        </w:tc>
      </w:tr>
      <w:tr>
        <w:trPr>
          <w:trHeight w:val="7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Проведены мероприятия по ф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  <w:lang w:eastAsia="ru-RU"/>
              </w:rPr>
              <w:t>ормированию семейных ценностей и укреплению института семей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</w:tr>
      <w:tr>
        <w:trPr>
          <w:trHeight w:val="7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3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</w:tr>
      <w:tr>
        <w:trPr>
          <w:trHeight w:val="7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регионального проекта «Сохранение культурного и исторического наследия»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22" w:name="sub_200"/>
      <w:bookmarkStart w:id="23" w:name="sub_200"/>
      <w:bookmarkEnd w:id="23"/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Основные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24" w:name="sub_201"/>
      <w:bookmarkStart w:id="25" w:name="sub_201"/>
      <w:bookmarkEnd w:id="25"/>
    </w:p>
    <w:tbl>
      <w:tblPr>
        <w:tblW w:w="150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1024"/>
        <w:gridCol w:w="3505"/>
        <w:gridCol w:w="2920"/>
        <w:gridCol w:w="1607"/>
        <w:gridCol w:w="2162"/>
      </w:tblGrid>
      <w:tr>
        <w:trPr/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Краткое наименование регионального проекта</w:t>
            </w:r>
          </w:p>
        </w:tc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/>
            </w:pPr>
            <w:r>
              <w:rPr>
                <w:rStyle w:val="Style13"/>
                <w:rFonts w:cs="Times New Roman"/>
                <w:color w:val="000000"/>
                <w:sz w:val="20"/>
                <w:szCs w:val="20"/>
                <w:shd w:fill="auto" w:val="clear"/>
              </w:rPr>
              <w:t>«Сохранение культурного и исторического наследия»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Срок реализации проекта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2023 г.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2035 г.</w:t>
            </w:r>
          </w:p>
        </w:tc>
      </w:tr>
      <w:tr>
        <w:trPr/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Куратор регионального проекта</w:t>
            </w:r>
          </w:p>
        </w:tc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А.М. Иванов</w:t>
            </w:r>
          </w:p>
        </w:tc>
        <w:tc>
          <w:tcPr>
            <w:tcW w:w="6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И.о.заместителя главы по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>
          <w:trHeight w:val="570" w:hRule="atLeast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государственной программой Чувашской Республики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HYPERLINK "../../../../../../../nowch-doc9/nowch-cult1/Downloads/%D0%9F%D0%BE%D1%81%D1%82%D0%B0%D0%BD%D0%BE%D0%B2%D0%BB%D0%B5%D0%BD%D0%B8%D0%B5%20%D0%9A%D0%B0%D0%B1%D0%B8%D0%BD%D0%B5%D1%82%D0%B0%20%D0%9C%D0%B8%D0%BD%D0%B8%D1%81%D1%82%D1%80%D0%BE%D0%B2%20%D0%A7%D1%83%D0%B2%D0%B0%D1%88%D1%81%D0%BA%D0%BE%D0%B9%20%D0%A0%D0%B5%D1%81%D0%BF%D1%83%D0%B1%D0%BB%D0%B8%D0%BA%D0%B8%20%D0%BE%D1%82%2026%20%D0%BE%D0%BA%D1%82%D1%8F%D0%B1%D1%80%D1%8F%202018%20%D0%B3%20N%20434.rtf" \l "sub_1000"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color w:val="000000"/>
                <w:sz w:val="20"/>
                <w:szCs w:val="20"/>
                <w:shd w:fill="auto" w:val="clear"/>
              </w:rPr>
              <w:t>Государственная программа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регионального проекта</w:t>
      </w:r>
      <w:bookmarkStart w:id="26" w:name="sub_202"/>
      <w:bookmarkEnd w:id="26"/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671"/>
        <w:gridCol w:w="977"/>
        <w:gridCol w:w="981"/>
        <w:gridCol w:w="840"/>
        <w:gridCol w:w="840"/>
        <w:gridCol w:w="840"/>
        <w:gridCol w:w="840"/>
        <w:gridCol w:w="840"/>
        <w:gridCol w:w="841"/>
        <w:gridCol w:w="825"/>
        <w:gridCol w:w="1525"/>
        <w:gridCol w:w="884"/>
        <w:gridCol w:w="2411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Показатели регионального проекта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3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Нарастающий итог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 (источник данных)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2031- 2035</w:t>
            </w:r>
          </w:p>
        </w:tc>
        <w:tc>
          <w:tcPr>
            <w:tcW w:w="1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1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«Реализации мероприятий по модернизации библиотек в части поступления новых экземпляров в библиотечные фонды общедоступных библиотек в рамках поддержки отрасли культуры»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экземпляров новых поступлений в библиотечные фонды общедоступных библиотек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320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возрастающий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Мероприятия (результаты) регионального проекта</w:t>
      </w:r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281"/>
        <w:gridCol w:w="993"/>
        <w:gridCol w:w="989"/>
        <w:gridCol w:w="852"/>
        <w:gridCol w:w="906"/>
        <w:gridCol w:w="840"/>
        <w:gridCol w:w="840"/>
        <w:gridCol w:w="841"/>
        <w:gridCol w:w="840"/>
        <w:gridCol w:w="1859"/>
        <w:gridCol w:w="1103"/>
        <w:gridCol w:w="1843"/>
      </w:tblGrid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bookmarkStart w:id="27" w:name="sub_203"/>
            <w:bookmarkEnd w:id="27"/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4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 мероприятия (результата)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регионального проекта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23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«Реализации мероприятий по модернизации библиотек в части поступления новых экземпляров в библиотечные фонды общедоступных библиотек в рамках поддержки отрасли культуры»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Реализованы мероприятия по модернизации библиотек в части поступления новых экземпляров в библиотечные фонды общедоступных библиотек в рамках поддержки отрасли культуры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320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из федерального бюджета предоставляются субсидии на комплектование книжных фондов библиотек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мероприятий организаций культуры;</w:t>
            </w:r>
          </w:p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удовлетворенности граждан доступностью и качеством услуг организаций культуры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реализации регионального проекта «Сохранение культурного и исторического наследия»</w:t>
      </w:r>
    </w:p>
    <w:tbl>
      <w:tblPr>
        <w:tblW w:w="150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5"/>
        <w:gridCol w:w="856"/>
        <w:gridCol w:w="1200"/>
        <w:gridCol w:w="1129"/>
        <w:gridCol w:w="1194"/>
        <w:gridCol w:w="1241"/>
        <w:gridCol w:w="1084"/>
        <w:gridCol w:w="1074"/>
        <w:gridCol w:w="1410"/>
      </w:tblGrid>
      <w:tr>
        <w:trPr>
          <w:trHeight w:val="330" w:hRule="atLeast"/>
        </w:trPr>
        <w:tc>
          <w:tcPr>
            <w:tcW w:w="5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hyperlink r:id="rId25">
              <w:r>
                <w:rPr>
                  <w:rFonts w:cs="Times New Roman"/>
                  <w:color w:val="000000"/>
                  <w:sz w:val="20"/>
                  <w:szCs w:val="20"/>
                  <w:u w:val="single"/>
                  <w:shd w:fill="auto" w:val="clear"/>
                </w:rPr>
                <w:t>КБК</w:t>
              </w:r>
            </w:hyperlink>
          </w:p>
        </w:tc>
        <w:tc>
          <w:tcPr>
            <w:tcW w:w="8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30" w:hRule="atLeast"/>
        </w:trPr>
        <w:tc>
          <w:tcPr>
            <w:tcW w:w="58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</w:tr>
      <w:tr>
        <w:trPr>
          <w:trHeight w:val="698" w:hRule="atLeast"/>
        </w:trPr>
        <w:tc>
          <w:tcPr>
            <w:tcW w:w="150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культуры»</w:t>
            </w:r>
          </w:p>
        </w:tc>
      </w:tr>
      <w:tr>
        <w:trPr>
          <w:trHeight w:val="7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Реализованы мероприятия по модернизации библиотек в части поступления новых экземпляров в библиотечные фонды общедоступных библиотек в рамках поддержки отрасли культуры,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5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sectPr>
          <w:headerReference w:type="default" r:id="rId26"/>
          <w:footerReference w:type="default" r:id="rId27"/>
          <w:type w:val="nextPage"/>
          <w:pgSz w:orient="landscape" w:w="16838" w:h="11906"/>
          <w:pgMar w:left="1134" w:right="1191" w:header="454" w:top="993" w:footer="0" w:bottom="851" w:gutter="0"/>
          <w:pgNumType w:fmt="decimal"/>
          <w:formProt w:val="false"/>
          <w:textDirection w:val="lrTb"/>
          <w:docGrid w:type="default" w:linePitch="326" w:charSpace="4096"/>
        </w:sect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«Искусство»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8"/>
        <w:gridCol w:w="10460"/>
      </w:tblGrid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8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«Создание условий для развития народного творчества и культурно-досуговой деятельности населения»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участников клубных формирований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798"/>
        <w:gridCol w:w="942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9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«Создание условий для развития народного творчества и культурно-досуговой деятельности населения»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участников клубных формирований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1"/>
        <w:gridCol w:w="1483"/>
        <w:gridCol w:w="1125"/>
        <w:gridCol w:w="1427"/>
        <w:gridCol w:w="1415"/>
        <w:gridCol w:w="805"/>
        <w:gridCol w:w="605"/>
        <w:gridCol w:w="1253"/>
        <w:gridCol w:w="1042"/>
        <w:gridCol w:w="1215"/>
      </w:tblGrid>
      <w:tr>
        <w:trPr>
          <w:trHeight w:val="330" w:hRule="atLeast"/>
        </w:trPr>
        <w:tc>
          <w:tcPr>
            <w:tcW w:w="5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477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411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210" w:hRule="atLeast"/>
        </w:trPr>
        <w:tc>
          <w:tcPr>
            <w:tcW w:w="5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4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2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215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161" w:hRule="atLeast"/>
        </w:trPr>
        <w:tc>
          <w:tcPr>
            <w:tcW w:w="154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«Искусство»</w:t>
            </w:r>
          </w:p>
        </w:tc>
      </w:tr>
      <w:tr>
        <w:trPr>
          <w:trHeight w:val="330" w:hRule="atLeast"/>
        </w:trPr>
        <w:tc>
          <w:tcPr>
            <w:tcW w:w="154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</w:tr>
      <w:tr>
        <w:trPr>
          <w:trHeight w:val="485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Ц440027А390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37540,7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=F6*2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71736,6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=F6*5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179341,5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1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405483,1</w:t>
            </w:r>
          </w:p>
        </w:tc>
      </w:tr>
      <w:tr>
        <w:trPr>
          <w:trHeight w:val="330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</w:t>
            </w:r>
          </w:p>
        </w:tc>
      </w:tr>
      <w:tr>
        <w:trPr>
          <w:trHeight w:val="144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66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37540,7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=F9*2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71736,6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=F9*5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179341,5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1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=C9:H9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</w:tbl>
    <w:p>
      <w:pPr>
        <w:sectPr>
          <w:headerReference w:type="default" r:id="rId30"/>
          <w:footerReference w:type="default" r:id="rId31"/>
          <w:type w:val="nextPage"/>
          <w:pgSz w:orient="landscape" w:w="16838" w:h="11906"/>
          <w:pgMar w:left="799" w:right="799" w:header="720" w:top="1440" w:footer="720" w:bottom="1440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1"/>
        <w:ind w:left="0" w:right="0" w:hanging="0"/>
        <w:rPr>
          <w:color w:val="000000"/>
          <w:shd w:fill="auto" w:val="clear"/>
        </w:rPr>
      </w:pPr>
      <w:bookmarkStart w:id="28" w:name="sub_600"/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«Наследие</w:t>
      </w:r>
      <w:bookmarkEnd w:id="28"/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»</w:t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17" w:type="dxa"/>
        <w:jc w:val="left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3"/>
        <w:gridCol w:w="10403"/>
      </w:tblGrid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2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«Повышение доступности и качества библиотечных услуг»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«Повышение доступности и качества музейных услуг»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посещаемость муниципальных музеев (на 1 жителя в год)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045"/>
        <w:gridCol w:w="1841"/>
        <w:gridCol w:w="3048"/>
        <w:gridCol w:w="1016"/>
        <w:gridCol w:w="966"/>
        <w:gridCol w:w="688"/>
        <w:gridCol w:w="823"/>
        <w:gridCol w:w="690"/>
        <w:gridCol w:w="687"/>
        <w:gridCol w:w="823"/>
        <w:gridCol w:w="832"/>
      </w:tblGrid>
      <w:tr>
        <w:trPr/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3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3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«Повышение доступности и качества библиотечных услуг»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посещений общедоступных библиотек (на 1 жителя в год)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устойчивого развития муниципальных библиотек,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12,8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«Повышение доступности и качества музейных услуг»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посещаемость муниципальных музеев (на 1 жителя в год)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максимально эффективного использования потенциала муниципальных музеев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0,8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1306"/>
        <w:gridCol w:w="1245"/>
        <w:gridCol w:w="1245"/>
        <w:gridCol w:w="1245"/>
        <w:gridCol w:w="1394"/>
        <w:gridCol w:w="1207"/>
        <w:gridCol w:w="372"/>
        <w:gridCol w:w="849"/>
        <w:gridCol w:w="1215"/>
      </w:tblGrid>
      <w:tr>
        <w:trPr>
          <w:trHeight w:val="315" w:hRule="atLeast"/>
        </w:trPr>
        <w:tc>
          <w:tcPr>
            <w:tcW w:w="5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7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64" w:hRule="atLeast"/>
        </w:trPr>
        <w:tc>
          <w:tcPr>
            <w:tcW w:w="5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1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7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9</w:t>
            </w:r>
          </w:p>
        </w:tc>
      </w:tr>
      <w:tr>
        <w:trPr>
          <w:trHeight w:val="289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Комплекс процессных мероприятий «Наследие»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Ц440300000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26418,3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24789,7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23991,4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=F4*2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47982,8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=F4*5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119957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272436,4</w:t>
            </w:r>
          </w:p>
        </w:tc>
      </w:tr>
      <w:tr>
        <w:trPr>
          <w:trHeight w:val="31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14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13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26418,3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24789,7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23991,4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=F7*2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47982,8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=F7*5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119957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272436,4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Паспорт комплекса процессных мероприятий «Создание условий для развития искусства и творчества» </w:t>
      </w:r>
    </w:p>
    <w:p>
      <w:pPr>
        <w:pStyle w:val="Default"/>
        <w:ind w:left="0" w:right="0" w:firstLine="567"/>
        <w:jc w:val="both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11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4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проведение капитального и текущего ремонтов зданий и помещений муниципальных учреждений культуры;</w:t>
            </w:r>
          </w:p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муниципальные учреждения культуры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 ЧР, 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047"/>
        <w:gridCol w:w="1842"/>
        <w:gridCol w:w="3047"/>
        <w:gridCol w:w="1045"/>
        <w:gridCol w:w="939"/>
        <w:gridCol w:w="806"/>
        <w:gridCol w:w="703"/>
        <w:gridCol w:w="690"/>
        <w:gridCol w:w="763"/>
        <w:gridCol w:w="746"/>
        <w:gridCol w:w="1006"/>
      </w:tblGrid>
      <w:tr>
        <w:trPr/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3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3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5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3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6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Проведение капитального и текущего ремонтов зданий и помещений муниципальных учреждений культуры;</w:t>
            </w:r>
          </w:p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муниципальные учреждения культуры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оказание услуг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устойчивого развития учреждений культуры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Обеспечено софинансирование расходных обязательств, связанных с повышением заработной платы работников муниципальных учреждений культуры в рамках реализации </w:t>
            </w:r>
            <w:hyperlink r:id="rId36">
              <w:r>
                <w:rPr>
                  <w:color w:val="000000"/>
                  <w:sz w:val="20"/>
                  <w:szCs w:val="20"/>
                  <w:shd w:fill="auto" w:val="clear"/>
                </w:rPr>
                <w:t>Указа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софинансирование расходных обязательств,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Проценты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государственных библиотек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укрепление материально-технической базы государственных библиотек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государственных музеев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укрепление материально-технической базы государственных музеев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1.5.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Обеспечено софинансирование расходных обязательств, связанных с повышением заработной платы работников муниципальных учреждений культуры в рамках реализации </w:t>
            </w:r>
            <w:hyperlink r:id="rId37">
              <w:r>
                <w:rPr>
                  <w:color w:val="000000"/>
                  <w:sz w:val="20"/>
                  <w:szCs w:val="20"/>
                  <w:shd w:fill="auto" w:val="clear"/>
                </w:rPr>
                <w:t>Указа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софинансирование расходных обязательств,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Проценты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204" w:type="dxa"/>
        <w:jc w:val="left"/>
        <w:tblInd w:w="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1"/>
        <w:gridCol w:w="1033"/>
        <w:gridCol w:w="1140"/>
        <w:gridCol w:w="868"/>
        <w:gridCol w:w="783"/>
        <w:gridCol w:w="1442"/>
        <w:gridCol w:w="1283"/>
        <w:gridCol w:w="1005"/>
        <w:gridCol w:w="1017"/>
      </w:tblGrid>
      <w:tr>
        <w:trPr>
          <w:trHeight w:val="543" w:hRule="atLeast"/>
        </w:trPr>
        <w:tc>
          <w:tcPr>
            <w:tcW w:w="6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7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15" w:hRule="atLeast"/>
        </w:trPr>
        <w:tc>
          <w:tcPr>
            <w:tcW w:w="66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315" w:hRule="atLeast"/>
        </w:trPr>
        <w:tc>
          <w:tcPr>
            <w:tcW w:w="152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«Создание условий для развития искусства и творчества»</w:t>
            </w:r>
          </w:p>
        </w:tc>
      </w:tr>
      <w:tr>
        <w:trPr>
          <w:trHeight w:val="327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Проведение капитального ремонта учреждений культуры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37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59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библиотек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музеев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детских школ искусств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Обеспечено софинансирование расходных обязательств,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Ц400000000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5544,8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126,4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649,9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648,8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1298,0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3245,0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=C25:H25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5267,6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118,8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610,9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609,9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=F27*2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1219,8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=F27*5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3049,5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10877,2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277,2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7,6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39,0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38,9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=F28*2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77,8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=F28*5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194,5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635,7</w:t>
            </w:r>
          </w:p>
        </w:tc>
      </w:tr>
    </w:tbl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 «Проведение мероприятий в сфере культуры, искусства, детского и юношеского творчества и архивного дела»</w:t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8"/>
        <w:gridCol w:w="10460"/>
      </w:tblGrid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8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21855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31676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874"/>
        <w:gridCol w:w="866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9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укрепления российской гражданской идентичности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6"/>
        <w:gridCol w:w="1917"/>
        <w:gridCol w:w="837"/>
        <w:gridCol w:w="720"/>
        <w:gridCol w:w="775"/>
        <w:gridCol w:w="1777"/>
        <w:gridCol w:w="1303"/>
        <w:gridCol w:w="1538"/>
        <w:gridCol w:w="948"/>
      </w:tblGrid>
      <w:tr>
        <w:trPr>
          <w:trHeight w:val="330" w:hRule="atLeast"/>
        </w:trPr>
        <w:tc>
          <w:tcPr>
            <w:tcW w:w="5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5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140" w:hRule="atLeast"/>
        </w:trPr>
        <w:tc>
          <w:tcPr>
            <w:tcW w:w="5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29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30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1 000,00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fldChar w:fldCharType="begin"/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instrText> =C5:H5</w:instrText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fldChar w:fldCharType="separate"/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t>0</w:t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fldChar w:fldCharType="end"/>
            </w:r>
          </w:p>
        </w:tc>
      </w:tr>
      <w:tr>
        <w:trPr>
          <w:trHeight w:val="115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1000,0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fldChar w:fldCharType="begin"/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instrText> =C8:H8</w:instrText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fldChar w:fldCharType="separate"/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t>0</w:t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fldChar w:fldCharType="end"/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Основное мероприятие «</w:t>
            </w: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Поддержка детского и юношеского творчества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=F9*5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4000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=C9:H9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4 000,0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=C12:H12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0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 «Обеспечение реализации муниципальной программы Чувашской Республики «Развитие культуры»</w:t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230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100"/>
        <w:gridCol w:w="1856"/>
        <w:gridCol w:w="2717"/>
        <w:gridCol w:w="1361"/>
        <w:gridCol w:w="1198"/>
        <w:gridCol w:w="852"/>
        <w:gridCol w:w="852"/>
        <w:gridCol w:w="853"/>
        <w:gridCol w:w="854"/>
        <w:gridCol w:w="853"/>
        <w:gridCol w:w="890"/>
      </w:tblGrid>
      <w:tr>
        <w:trPr/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0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7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реализация деятельности отдела культуры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обеспечение своевременной оплаты услуг и приобретение товаров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100"/>
        <w:gridCol w:w="1856"/>
        <w:gridCol w:w="2717"/>
        <w:gridCol w:w="1361"/>
        <w:gridCol w:w="1198"/>
        <w:gridCol w:w="852"/>
        <w:gridCol w:w="852"/>
        <w:gridCol w:w="853"/>
        <w:gridCol w:w="854"/>
        <w:gridCol w:w="853"/>
        <w:gridCol w:w="890"/>
      </w:tblGrid>
      <w:tr>
        <w:trPr/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1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7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реализация деятельности отдела культуры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обеспечение своевременной оплаты услуг и приобретение товаров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ведомственного проекта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2"/>
        <w:gridCol w:w="1212"/>
        <w:gridCol w:w="1322"/>
        <w:gridCol w:w="991"/>
        <w:gridCol w:w="1216"/>
        <w:gridCol w:w="1329"/>
        <w:gridCol w:w="1539"/>
        <w:gridCol w:w="461"/>
        <w:gridCol w:w="783"/>
        <w:gridCol w:w="1233"/>
      </w:tblGrid>
      <w:tr>
        <w:trPr>
          <w:trHeight w:val="473" w:hRule="atLeast"/>
        </w:trPr>
        <w:tc>
          <w:tcPr>
            <w:tcW w:w="5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8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15" w:hRule="atLeast"/>
        </w:trPr>
        <w:tc>
          <w:tcPr>
            <w:tcW w:w="51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15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7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9</w:t>
            </w:r>
          </w:p>
        </w:tc>
      </w:tr>
      <w:tr>
        <w:trPr>
          <w:trHeight w:val="616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Обеспечение реализации муниципальной программы Чувашской Республики «Развитие культуры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Ц440700000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=F4*2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20450,2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=F4*5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51125,5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15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33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=F7*2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20450,2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instrText> =F7*5</w:instrTex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t>51125,5</w:t>
            </w:r>
            <w:r>
              <w:rPr>
                <w:sz w:val="20"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237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=F7*2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20450,2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=F7*5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51125,5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 xml:space="preserve">Паспорт комплекса процессных мероприятий  </w:t>
      </w:r>
      <w:r>
        <w:rPr>
          <w:rFonts w:cs="Times New Roman" w:ascii="Times New Roman" w:hAnsi="Times New Roman"/>
          <w:b/>
          <w:bCs/>
          <w:color w:val="000000"/>
          <w:sz w:val="20"/>
          <w:szCs w:val="20"/>
          <w:shd w:fill="auto" w:val="clear"/>
        </w:rPr>
        <w:t>«Реализация государственной национальной политики в Чувашской Республике»</w:t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2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Увелечение количества  участников, в мероприятии по сохранению и развитию чувашского языка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874"/>
        <w:gridCol w:w="866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3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Увелечение количества  участников, в мероприятии по сохранению и развитию чувашского языка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направленной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человек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6"/>
        <w:gridCol w:w="2241"/>
        <w:gridCol w:w="977"/>
        <w:gridCol w:w="840"/>
        <w:gridCol w:w="910"/>
        <w:gridCol w:w="1368"/>
        <w:gridCol w:w="1432"/>
        <w:gridCol w:w="1107"/>
      </w:tblGrid>
      <w:tr>
        <w:trPr>
          <w:trHeight w:val="330" w:hRule="atLeast"/>
        </w:trPr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4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 комплексная информационная кампании, направленн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ая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«Мониторинг в сфере межнациональных и межконфессиональных отношений»</w:t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4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убывающий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tLeast" w:line="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2111"/>
        <w:gridCol w:w="1868"/>
        <w:gridCol w:w="2573"/>
        <w:gridCol w:w="1357"/>
        <w:gridCol w:w="1197"/>
        <w:gridCol w:w="873"/>
        <w:gridCol w:w="866"/>
        <w:gridCol w:w="865"/>
        <w:gridCol w:w="868"/>
        <w:gridCol w:w="862"/>
        <w:gridCol w:w="937"/>
      </w:tblGrid>
      <w:tr>
        <w:trPr/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5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иные мероприятия (результаты)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обеспечено эффективное использование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</w:tbl>
    <w:p>
      <w:pPr>
        <w:pStyle w:val="1"/>
        <w:spacing w:lineRule="atLeast" w:line="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7"/>
        <w:gridCol w:w="2239"/>
        <w:gridCol w:w="978"/>
        <w:gridCol w:w="840"/>
        <w:gridCol w:w="902"/>
        <w:gridCol w:w="1381"/>
        <w:gridCol w:w="1420"/>
        <w:gridCol w:w="941"/>
      </w:tblGrid>
      <w:tr>
        <w:trPr>
          <w:trHeight w:val="330" w:hRule="atLeast"/>
        </w:trPr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 «Мониторинг в сфере межнациональных и межконфессиональных отношений», 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 комплексная информационная кампании, направленн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ая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1523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ситуаций, всего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color w:val="000000"/>
          <w:shd w:fill="auto" w:val="clear"/>
        </w:rPr>
      </w:pPr>
      <w:r>
        <w:rPr>
          <w:b/>
          <w:bCs/>
          <w:color w:val="000000"/>
          <w:sz w:val="24"/>
          <w:szCs w:val="24"/>
          <w:shd w:fill="auto" w:val="clear"/>
        </w:rPr>
        <w:t>Паспорт комплекса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>
      <w:pPr>
        <w:pStyle w:val="Normal"/>
        <w:spacing w:before="0" w:after="0"/>
        <w:jc w:val="center"/>
        <w:rPr>
          <w:rFonts w:ascii="Times New Roman" w:hAnsi="Times New Roman"/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6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«Увеличение уровня общероссийской гражданской идентичности (до 84,5 процента к 2035 году)»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 РФ, ФП вне НП, ГП, 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тысяч человек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81,2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81,6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81,6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81,7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82,0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82,5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убывание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организациями, в сфере государственной национальной политики 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1.7.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граждан, принявших участие в мероприятиях в сфере духовно-просветительской деятельности, реализованных в рамках программ социально ориентированных некоммерческих организаций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tLeast" w:line="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2111"/>
        <w:gridCol w:w="1868"/>
        <w:gridCol w:w="2573"/>
        <w:gridCol w:w="1357"/>
        <w:gridCol w:w="1197"/>
        <w:gridCol w:w="873"/>
        <w:gridCol w:w="866"/>
        <w:gridCol w:w="865"/>
        <w:gridCol w:w="868"/>
        <w:gridCol w:w="862"/>
        <w:gridCol w:w="937"/>
      </w:tblGrid>
      <w:tr>
        <w:trPr/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7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0"/>
              <w:ind w:left="0" w:right="0" w:hanging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«Увеличение уровня общероссийской гражданской идентичности (до 84,5 процента к 2035 году)»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мероприятия, посвященные сохранению и поддержке русского языка и традиционных российских духовно-нравственных ценностей в рамках </w:t>
            </w:r>
            <w:hyperlink r:id="rId48">
              <w:r>
                <w:rPr>
                  <w:color w:val="000000"/>
                  <w:sz w:val="20"/>
                  <w:szCs w:val="20"/>
                  <w:shd w:fill="auto" w:val="clear"/>
                </w:rPr>
                <w:t>государственной программы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Российской Федерации «Реализация государственной национальной политики»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посвященные сохранению и поддержке русского языка и традиционных российских духовно-нравственных ценностей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профилактику экстремизма на национальной и религиозной почве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 круглый стол с участием религиозных организаций, посвященный профилактике экстремизма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</w:t>
            </w:r>
            <w:hyperlink r:id="rId49">
              <w:r>
                <w:rPr>
                  <w:color w:val="000000"/>
                  <w:sz w:val="20"/>
                  <w:szCs w:val="20"/>
                  <w:shd w:fill="auto" w:val="clear"/>
                </w:rPr>
                <w:t>государственной программы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мероприятия, направленные на этнокультурное развитие народов Чувашской Республики в рамках </w:t>
            </w:r>
            <w:hyperlink r:id="rId50">
              <w:r>
                <w:rPr>
                  <w:color w:val="000000"/>
                  <w:sz w:val="20"/>
                  <w:szCs w:val="20"/>
                  <w:shd w:fill="auto" w:val="clear"/>
                </w:rPr>
                <w:t>государственной программы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реализован проект по вовлечению и адаптации детей цыганской национальности, проживающих в Чувашской Республике, в образовательные и культурные процессы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организовано и проведено не менее 2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1.7.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Организовано информационное сопровождение мероприятий в сфере образования, культуры, физической культуры, спорта, в том числе массовых, направленных на укрепление общероссийского гражданского единства и гармонизацию межнациональных отношений, профилактику экстремизма, развитие национальных культур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средствах массовой информации размещены информационные материалы, публикации, программы, ролики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едениц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120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</w:tbl>
    <w:p>
      <w:pPr>
        <w:pStyle w:val="1"/>
        <w:spacing w:lineRule="atLeast" w:line="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7"/>
        <w:gridCol w:w="2239"/>
        <w:gridCol w:w="978"/>
        <w:gridCol w:w="840"/>
        <w:gridCol w:w="902"/>
        <w:gridCol w:w="1381"/>
        <w:gridCol w:w="1420"/>
        <w:gridCol w:w="941"/>
      </w:tblGrid>
      <w:tr>
        <w:trPr>
          <w:trHeight w:val="330" w:hRule="atLeast"/>
        </w:trPr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 «Мониторинг в сфере межнациональных и межконфессиональных отношений», 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России", всего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color w:val="000000"/>
          <w:shd w:fill="auto" w:val="clear"/>
        </w:rPr>
      </w:pPr>
      <w:r>
        <w:rPr>
          <w:b/>
          <w:bCs/>
          <w:color w:val="000000"/>
          <w:sz w:val="24"/>
          <w:szCs w:val="24"/>
          <w:shd w:fill="auto" w:val="clear"/>
        </w:rPr>
        <w:t>Паспорт комплекса процессных мероприятий «Цифровая трансформация в сфере культуры» («Цифровая культура»)»</w:t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51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Увеличение обращений к цифровым ресурсам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left="0" w:right="0" w:hanging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раз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874"/>
        <w:gridCol w:w="866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52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Внедрены цифровые технологии в учреждениях культуры республики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х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6"/>
        <w:gridCol w:w="2241"/>
        <w:gridCol w:w="977"/>
        <w:gridCol w:w="840"/>
        <w:gridCol w:w="910"/>
        <w:gridCol w:w="1368"/>
        <w:gridCol w:w="1432"/>
        <w:gridCol w:w="1107"/>
      </w:tblGrid>
      <w:tr>
        <w:trPr>
          <w:trHeight w:val="330" w:hRule="atLeast"/>
        </w:trPr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4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Цифровизация услуг и формирование информационного пространства в сфере культуры, всего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0,0»</w:t>
            </w:r>
          </w:p>
        </w:tc>
      </w:tr>
    </w:tbl>
    <w:p>
      <w:pPr>
        <w:sectPr>
          <w:headerReference w:type="default" r:id="rId53"/>
          <w:footerReference w:type="default" r:id="rId54"/>
          <w:type w:val="nextPage"/>
          <w:pgSz w:orient="landscape" w:w="16838" w:h="11906"/>
          <w:pgMar w:left="799" w:right="799" w:header="720" w:top="1440" w:footer="720" w:bottom="1440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ind w:left="720" w:right="0" w:hanging="0"/>
        <w:jc w:val="both"/>
        <w:rPr>
          <w:color w:val="000000"/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 w:bidi="ar-SA"/>
        </w:rPr>
        <w:t xml:space="preserve">2. Отделу по культуре, туризму и архивному делу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администрации Ядринского муниципального округа Чувашской Республики обеспечить опубликование настоящего постановления на официальном сайте администрации Ядринского муниципального округа Чувашской Республики.</w:t>
      </w: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ind w:left="720" w:right="0" w:hanging="0"/>
        <w:jc w:val="both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3. Контроль за выполнением настоящего постановления возложить на отдел по культуре, туризму и архивному делу администрации Ядринского муниципального округа Чувашской Республики.</w:t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ind w:left="0" w:right="0" w:firstLine="680"/>
        <w:jc w:val="both"/>
        <w:rPr>
          <w:color w:val="000000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4. Настоящее постановление вступает в силу после его официального опубликования и распространяется на правоотношения, возникшие с 1 января 2026 года.</w:t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bidi w:val="0"/>
        <w:ind w:left="720" w:right="0" w:hanging="0"/>
        <w:jc w:val="both"/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pPr>
      <w:r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bidi w:val="0"/>
        <w:ind w:left="720" w:right="0" w:hanging="0"/>
        <w:jc w:val="both"/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pPr>
      <w:r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r>
    </w:p>
    <w:p>
      <w:pPr>
        <w:pStyle w:val="231"/>
        <w:jc w:val="both"/>
        <w:rPr>
          <w:color w:val="000000"/>
          <w:shd w:fill="auto" w:val="clear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Г</w:t>
      </w:r>
      <w:r>
        <w:rPr>
          <w:rFonts w:cs="Times New Roman"/>
          <w:color w:val="000000"/>
          <w:sz w:val="24"/>
          <w:szCs w:val="24"/>
          <w:shd w:fill="auto" w:val="clear"/>
          <w:lang w:val="ru-RU" w:eastAsia="ru-RU"/>
        </w:rPr>
        <w:t>лава Ядринского муниципального</w:t>
      </w:r>
    </w:p>
    <w:p>
      <w:pPr>
        <w:pStyle w:val="Normal"/>
        <w:jc w:val="both"/>
        <w:rPr>
          <w:color w:val="000000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  <w:lang w:val="ru-RU" w:eastAsia="ru-RU"/>
        </w:rPr>
        <w:t>округа Чувашской Республики                                                                                     В.А. Можаев</w:t>
      </w:r>
    </w:p>
    <w:p>
      <w:pPr>
        <w:pStyle w:val="Normal"/>
        <w:spacing w:before="0" w:after="0"/>
        <w:jc w:val="right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spacing w:before="0" w:after="0"/>
        <w:jc w:val="right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spacing w:before="0" w:after="0"/>
        <w:jc w:val="right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false"/>
        <w:bidi w:val="0"/>
        <w:spacing w:before="0" w:after="0"/>
        <w:ind w:left="0" w:right="0" w:firstLine="907"/>
        <w:jc w:val="right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55"/>
      <w:footerReference w:type="default" r:id="rId56"/>
      <w:type w:val="nextPage"/>
      <w:pgSz w:w="11906" w:h="16838"/>
      <w:pgMar w:left="1180" w:right="1065" w:header="1134" w:top="1191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urier Std">
    <w:altName w:val="Courier New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righ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31</w:t>
    </w:r>
    <w:r>
      <w:rPr/>
      <w:fldChar w:fldCharType="end"/>
    </w:r>
  </w:p>
  <w:p>
    <w:pPr>
      <w:pStyle w:val="ConsPlusNonforma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hd w:fill="auto" w:val="clea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widowControl w:val="false"/>
      <w:numPr>
        <w:ilvl w:val="0"/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Normal"/>
    <w:next w:val="Normal"/>
    <w:qFormat/>
    <w:pPr>
      <w:keepNext w:val="true"/>
      <w:spacing w:before="240" w:after="60"/>
      <w:ind w:left="0" w:right="0" w:hanging="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WW8Num1z0">
    <w:name w:val="WW8Num1z0"/>
    <w:qFormat/>
    <w:rPr>
      <w:shd w:fill="auto" w:val="clear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b w:val="false"/>
      <w:bCs w:val="false"/>
      <w:color w:val="000000"/>
      <w:spacing w:val="-2"/>
      <w:sz w:val="26"/>
      <w:szCs w:val="26"/>
      <w:lang w:val="ru-RU" w:eastAsia="ru-RU"/>
    </w:rPr>
  </w:style>
  <w:style w:type="character" w:styleId="WW8Num4z0">
    <w:name w:val="WW8Num4z0"/>
    <w:qFormat/>
    <w:rPr>
      <w:sz w:val="26"/>
      <w:szCs w:val="26"/>
    </w:rPr>
  </w:style>
  <w:style w:type="character" w:styleId="WW8Num5z0">
    <w:name w:val="WW8Num5z0"/>
    <w:qFormat/>
    <w:rPr>
      <w:sz w:val="26"/>
      <w:szCs w:val="26"/>
    </w:rPr>
  </w:style>
  <w:style w:type="character" w:styleId="WW8Num6z0">
    <w:name w:val="WW8Num6z0"/>
    <w:qFormat/>
    <w:rPr>
      <w:rFonts w:ascii="Times New Roman" w:hAnsi="Times New Roman" w:cs="Times New Roman"/>
      <w:spacing w:val="-6"/>
      <w:sz w:val="24"/>
      <w:szCs w:val="26"/>
      <w:lang w:val="ru-RU" w:eastAsia="ru-RU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sz w:val="24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2">
    <w:name w:val="Основной шрифт абзаца"/>
    <w:qFormat/>
    <w:rPr/>
  </w:style>
  <w:style w:type="character" w:styleId="4">
    <w:name w:val="Основной шрифт абзаца4"/>
    <w:qFormat/>
    <w:rPr/>
  </w:style>
  <w:style w:type="character" w:styleId="3">
    <w:name w:val="Основной шрифт абзаца3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>
      <w:sz w:val="26"/>
      <w:szCs w:val="26"/>
    </w:rPr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>
      <w:sz w:val="26"/>
      <w:szCs w:val="26"/>
    </w:rPr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21">
    <w:name w:val="Основной шрифт абзаца2"/>
    <w:qFormat/>
    <w:rPr/>
  </w:style>
  <w:style w:type="character" w:styleId="11">
    <w:name w:val="Основной шрифт абзаца1"/>
    <w:qFormat/>
    <w:rPr/>
  </w:style>
  <w:style w:type="character" w:styleId="Style13">
    <w:name w:val="Цветовое выделение"/>
    <w:qFormat/>
    <w:rPr>
      <w:b/>
      <w:bCs/>
      <w:color w:val="000080"/>
    </w:rPr>
  </w:style>
  <w:style w:type="character" w:styleId="31">
    <w:name w:val="Основной текст (3)_"/>
    <w:qFormat/>
    <w:rPr>
      <w:b/>
      <w:bCs/>
      <w:spacing w:val="8"/>
      <w:shd w:fill="FFFFFF" w:val="clear"/>
      <w:lang w:bidi="ar-SA"/>
    </w:rPr>
  </w:style>
  <w:style w:type="character" w:styleId="Style14">
    <w:name w:val="Основной текст_"/>
    <w:qFormat/>
    <w:rPr>
      <w:spacing w:val="4"/>
      <w:shd w:fill="FFFFFF" w:val="clear"/>
      <w:lang w:bidi="ar-SA"/>
    </w:rPr>
  </w:style>
  <w:style w:type="character" w:styleId="3pt">
    <w:name w:val="Основной текст + Интервал 3 pt"/>
    <w:qFormat/>
    <w:rPr>
      <w:color w:val="000000"/>
      <w:spacing w:val="62"/>
      <w:w w:val="100"/>
      <w:position w:val="0"/>
      <w:sz w:val="24"/>
      <w:sz w:val="24"/>
      <w:shd w:fill="FFFFFF" w:val="clear"/>
      <w:vertAlign w:val="baseline"/>
      <w:lang w:val="ru-RU" w:bidi="ar-SA"/>
    </w:rPr>
  </w:style>
  <w:style w:type="character" w:styleId="0pt">
    <w:name w:val="Основной текст + Полужирный;Интервал 0 pt"/>
    <w:qFormat/>
    <w:rPr>
      <w:b/>
      <w:bCs/>
      <w:color w:val="000000"/>
      <w:spacing w:val="8"/>
      <w:w w:val="100"/>
      <w:position w:val="0"/>
      <w:sz w:val="24"/>
      <w:sz w:val="24"/>
      <w:shd w:fill="FFFFFF" w:val="clear"/>
      <w:vertAlign w:val="baseline"/>
      <w:lang w:val="ru-RU" w:bidi="ar-SA"/>
    </w:rPr>
  </w:style>
  <w:style w:type="character" w:styleId="22">
    <w:name w:val="Основной текст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7"/>
      <w:w w:val="100"/>
      <w:position w:val="0"/>
      <w:sz w:val="22"/>
      <w:sz w:val="22"/>
      <w:szCs w:val="22"/>
      <w:u w:val="none"/>
      <w:shd w:fill="FFFFFF" w:val="clear"/>
      <w:vertAlign w:val="baseline"/>
      <w:lang w:val="ru-RU" w:bidi="ar-SA"/>
    </w:rPr>
  </w:style>
  <w:style w:type="character" w:styleId="1pt">
    <w:name w:val="Основной текст + Интервал 1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36"/>
      <w:w w:val="100"/>
      <w:position w:val="0"/>
      <w:sz w:val="11"/>
      <w:sz w:val="11"/>
      <w:szCs w:val="11"/>
      <w:u w:val="none"/>
      <w:shd w:fill="FFFFFF" w:val="clear"/>
      <w:vertAlign w:val="baseline"/>
      <w:lang w:val="ru-RU" w:bidi="ar-SA"/>
    </w:rPr>
  </w:style>
  <w:style w:type="character" w:styleId="0pt1">
    <w:name w:val="Основной текст + 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position w:val="0"/>
      <w:sz w:val="22"/>
      <w:sz w:val="22"/>
      <w:szCs w:val="22"/>
      <w:u w:val="none"/>
      <w:shd w:fill="FFFFFF" w:val="clear"/>
      <w:vertAlign w:val="baseline"/>
      <w:lang w:val="ru-RU" w:bidi="ar-SA"/>
    </w:rPr>
  </w:style>
  <w:style w:type="character" w:styleId="105pt0pt">
    <w:name w:val="Основной текст + 10;5 pt;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"/>
      <w:w w:val="100"/>
      <w:position w:val="0"/>
      <w:sz w:val="21"/>
      <w:sz w:val="21"/>
      <w:szCs w:val="21"/>
      <w:u w:val="none"/>
      <w:shd w:fill="FFFFFF" w:val="clear"/>
      <w:vertAlign w:val="baseline"/>
      <w:lang w:val="ru-RU" w:bidi="ar-SA"/>
    </w:rPr>
  </w:style>
  <w:style w:type="character" w:styleId="Style15">
    <w:name w:val="Символ нумерации"/>
    <w:qFormat/>
    <w:rPr>
      <w:sz w:val="26"/>
      <w:szCs w:val="26"/>
    </w:rPr>
  </w:style>
  <w:style w:type="character" w:styleId="Style16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7">
    <w:name w:val="Символ сноски"/>
    <w:qFormat/>
    <w:rPr>
      <w:vertAlign w:val="superscript"/>
    </w:rPr>
  </w:style>
  <w:style w:type="character" w:styleId="12">
    <w:name w:val="Знак сноски1"/>
    <w:qFormat/>
    <w:rPr>
      <w:vertAlign w:val="superscript"/>
    </w:rPr>
  </w:style>
  <w:style w:type="character" w:styleId="Style18">
    <w:name w:val="Выделение"/>
    <w:qFormat/>
    <w:rPr>
      <w:i/>
      <w:iCs/>
    </w:rPr>
  </w:style>
  <w:style w:type="character" w:styleId="WW8Num14z6">
    <w:name w:val="WW8Num14z6"/>
    <w:qFormat/>
    <w:rPr/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Style20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character" w:styleId="Style21">
    <w:name w:val="Посещённая гиперссылка"/>
    <w:rPr>
      <w:color w:val="800080"/>
      <w:u w:val="single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Style23"/>
    <w:pPr/>
    <w:rPr>
      <w:rFonts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</w:rPr>
  </w:style>
  <w:style w:type="paragraph" w:styleId="Style27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41">
    <w:name w:val="Указатель4"/>
    <w:basedOn w:val="Normal"/>
    <w:qFormat/>
    <w:pPr>
      <w:suppressLineNumbers/>
    </w:pPr>
    <w:rPr>
      <w:rFonts w:cs="Arial"/>
    </w:rPr>
  </w:style>
  <w:style w:type="paragraph" w:styleId="32">
    <w:name w:val="Название объекта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33">
    <w:name w:val="Указатель3"/>
    <w:basedOn w:val="Normal"/>
    <w:qFormat/>
    <w:pPr>
      <w:suppressLineNumbers/>
    </w:pPr>
    <w:rPr>
      <w:rFonts w:cs="Mangal"/>
    </w:rPr>
  </w:style>
  <w:style w:type="paragraph" w:styleId="23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4">
    <w:name w:val="Указатель2"/>
    <w:basedOn w:val="Normal"/>
    <w:qFormat/>
    <w:pPr>
      <w:suppressLineNumbers/>
    </w:pPr>
    <w:rPr>
      <w:rFonts w:cs="Mangal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9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30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1">
    <w:name w:val="Таблицы (моноширинный)"/>
    <w:basedOn w:val="Normal"/>
    <w:next w:val="Normal"/>
    <w:qFormat/>
    <w:pPr>
      <w:suppressAutoHyphens w:val="false"/>
      <w:jc w:val="both"/>
    </w:pPr>
    <w:rPr>
      <w:rFonts w:ascii="Courier New" w:hAnsi="Courier New" w:cs="Courier New"/>
      <w:sz w:val="20"/>
      <w:szCs w:val="20"/>
    </w:rPr>
  </w:style>
  <w:style w:type="paragraph" w:styleId="15">
    <w:name w:val="Знак Знак1 Знак"/>
    <w:basedOn w:val="Normal"/>
    <w:qFormat/>
    <w:pPr>
      <w:widowControl w:val="false"/>
      <w:suppressAutoHyphens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16">
    <w:name w:val="Схема документа1"/>
    <w:basedOn w:val="Normal"/>
    <w:qFormat/>
    <w:pPr>
      <w:shd w:val="clear" w:fill="000080"/>
    </w:pPr>
    <w:rPr>
      <w:rFonts w:ascii="Tahoma" w:hAnsi="Tahoma" w:cs="Tahoma"/>
      <w:sz w:val="20"/>
      <w:szCs w:val="20"/>
    </w:rPr>
  </w:style>
  <w:style w:type="paragraph" w:styleId="34">
    <w:name w:val="Основной текст (3)"/>
    <w:basedOn w:val="Normal"/>
    <w:qFormat/>
    <w:pPr>
      <w:widowControl w:val="false"/>
      <w:shd w:val="clear" w:fill="FFFFFF"/>
      <w:suppressAutoHyphens w:val="false"/>
      <w:spacing w:lineRule="atLeast" w:line="0"/>
    </w:pPr>
    <w:rPr>
      <w:b/>
      <w:bCs/>
      <w:spacing w:val="8"/>
      <w:sz w:val="20"/>
      <w:szCs w:val="20"/>
      <w:shd w:fill="FFFFFF" w:val="clear"/>
      <w:lang w:val="ru-RU" w:eastAsia="ru-RU"/>
    </w:rPr>
  </w:style>
  <w:style w:type="paragraph" w:styleId="17">
    <w:name w:val="Основной текст1"/>
    <w:basedOn w:val="Normal"/>
    <w:qFormat/>
    <w:pPr>
      <w:widowControl w:val="false"/>
      <w:shd w:val="clear" w:fill="FFFFFF"/>
      <w:suppressAutoHyphens w:val="false"/>
      <w:spacing w:lineRule="exact" w:line="245"/>
      <w:jc w:val="center"/>
    </w:pPr>
    <w:rPr>
      <w:spacing w:val="4"/>
      <w:sz w:val="20"/>
      <w:szCs w:val="20"/>
      <w:shd w:fill="FFFFFF" w:val="clear"/>
      <w:lang w:val="ru-RU" w:eastAsia="ru-RU"/>
    </w:rPr>
  </w:style>
  <w:style w:type="paragraph" w:styleId="Style32">
    <w:name w:val="Содержимое таблицы"/>
    <w:basedOn w:val="Normal"/>
    <w:qFormat/>
    <w:pPr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paragraph" w:styleId="Style34">
    <w:name w:val="Body Text Indent"/>
    <w:basedOn w:val="Normal"/>
    <w:pPr>
      <w:spacing w:before="0" w:after="120"/>
      <w:ind w:left="283" w:right="0" w:hanging="0"/>
    </w:pPr>
    <w:rPr/>
  </w:style>
  <w:style w:type="paragraph" w:styleId="211">
    <w:name w:val="Основной текст 21"/>
    <w:basedOn w:val="Normal"/>
    <w:qFormat/>
    <w:pPr>
      <w:spacing w:lineRule="auto" w:line="480" w:before="0" w:after="120"/>
    </w:pPr>
    <w:rPr/>
  </w:style>
  <w:style w:type="paragraph" w:styleId="Style35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ourier Std;Courier New" w:hAnsi="Courier Std;Courier New" w:eastAsia="Times New Roman" w:cs="Courier Std;Courier New"/>
      <w:color w:val="000000"/>
      <w:kern w:val="0"/>
      <w:sz w:val="24"/>
      <w:szCs w:val="24"/>
      <w:lang w:val="ru-RU" w:eastAsia="zh-CN" w:bidi="ar-SA"/>
    </w:rPr>
  </w:style>
  <w:style w:type="paragraph" w:styleId="231">
    <w:name w:val="Основной текст 23"/>
    <w:basedOn w:val="Normal"/>
    <w:qFormat/>
    <w:pPr>
      <w:jc w:val="both"/>
    </w:pPr>
    <w:rPr>
      <w:sz w:val="28"/>
    </w:rPr>
  </w:style>
  <w:style w:type="paragraph" w:styleId="Style36">
    <w:name w:val="Знак Знак Знак Знак Знак Знак Знак"/>
    <w:basedOn w:val="Normal"/>
    <w:qFormat/>
    <w:pPr>
      <w:suppressAutoHyphens w:val="false"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Style37">
    <w:name w:val="Абзац списка"/>
    <w:basedOn w:val="Normal"/>
    <w:qFormat/>
    <w:pPr>
      <w:widowControl w:val="false"/>
      <w:suppressAutoHyphens w:val="false"/>
      <w:spacing w:before="0" w:after="0"/>
      <w:ind w:left="720" w:right="0" w:hanging="0"/>
      <w:contextualSpacing/>
    </w:pPr>
    <w:rPr>
      <w:rFonts w:ascii="Arial" w:hAnsi="Arial" w:cs="Arial"/>
      <w:sz w:val="20"/>
      <w:szCs w:val="20"/>
    </w:rPr>
  </w:style>
  <w:style w:type="paragraph" w:styleId="221">
    <w:name w:val="Основной текст 22"/>
    <w:basedOn w:val="Normal"/>
    <w:qFormat/>
    <w:pPr>
      <w:suppressAutoHyphens w:val="false"/>
      <w:overflowPunct w:val="true"/>
      <w:jc w:val="both"/>
      <w:textAlignment w:val="baseline"/>
    </w:pPr>
    <w:rPr>
      <w:sz w:val="26"/>
      <w:szCs w:val="20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tyle38">
    <w:name w:val="Прижатый влево"/>
    <w:basedOn w:val="Normal"/>
    <w:next w:val="Normal"/>
    <w:qFormat/>
    <w:pPr>
      <w:ind w:left="0" w:right="0" w:hanging="0"/>
      <w:jc w:val="left"/>
    </w:pPr>
    <w:rPr/>
  </w:style>
  <w:style w:type="paragraph" w:styleId="Style39">
    <w:name w:val="Нормальный (таблица)"/>
    <w:basedOn w:val="Normal"/>
    <w:next w:val="Normal"/>
    <w:qFormat/>
    <w:pPr>
      <w:ind w:left="0" w:right="0" w:hanging="0"/>
    </w:pPr>
    <w:rPr/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Style40">
    <w:name w:val="Footer"/>
    <w:basedOn w:val="Style28"/>
    <w:pPr/>
    <w:rPr/>
  </w:style>
  <w:style w:type="paragraph" w:styleId="321">
    <w:name w:val="Основной текст с отступом 32"/>
    <w:basedOn w:val="Normal"/>
    <w:qFormat/>
    <w:pPr>
      <w:widowControl w:val="false"/>
      <w:spacing w:lineRule="auto" w:line="240" w:before="0" w:after="0"/>
      <w:ind w:left="0" w:right="0" w:firstLine="720"/>
      <w:jc w:val="both"/>
    </w:pPr>
    <w:rPr>
      <w:rFonts w:ascii="Arial" w:hAnsi="Arial" w:eastAsia="Times New Roman" w:cs="Arial"/>
      <w:color w:val="000000"/>
      <w:sz w:val="26"/>
      <w:szCs w:val="26"/>
      <w:lang w:val="x-none" w:eastAsia="zh-CN"/>
    </w:rPr>
  </w:style>
  <w:style w:type="paragraph" w:styleId="ListParagraph">
    <w:name w:val="List Paragraph"/>
    <w:basedOn w:val="Normal"/>
    <w:qFormat/>
    <w:pPr>
      <w:spacing w:lineRule="auto" w:line="264" w:before="0" w:after="160"/>
      <w:ind w:left="720" w:right="0" w:hanging="0"/>
      <w:contextualSpacing/>
    </w:pPr>
    <w:rPr>
      <w:rFonts w:eastAsia="Times New Roman" w:cs="Times New Roman"/>
      <w:color w:val="000000"/>
      <w:sz w:val="24"/>
      <w:szCs w:val="20"/>
    </w:rPr>
  </w:style>
  <w:style w:type="paragraph" w:styleId="S16">
    <w:name w:val="s_16"/>
    <w:basedOn w:val="Normal"/>
    <w:qFormat/>
    <w:pPr>
      <w:spacing w:before="280" w:after="280"/>
    </w:pPr>
    <w:rPr>
      <w:rFonts w:ascii="Times New Roman" w:hAnsi="Times New Roman" w:cs="Times New Roman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internet.garant.ru/document/redirect/104540/0" TargetMode="External"/><Relationship Id="rId4" Type="http://schemas.openxmlformats.org/officeDocument/2006/relationships/hyperlink" Target="https://internet.garant.ru/document/redirect/70284810/0" TargetMode="External"/><Relationship Id="rId5" Type="http://schemas.openxmlformats.org/officeDocument/2006/relationships/hyperlink" Target="https://internet.garant.ru/document/redirect/70828330/0" TargetMode="External"/><Relationship Id="rId6" Type="http://schemas.openxmlformats.org/officeDocument/2006/relationships/hyperlink" Target="https://internet.garant.ru/document/redirect/71937200/0" TargetMode="External"/><Relationship Id="rId7" Type="http://schemas.openxmlformats.org/officeDocument/2006/relationships/hyperlink" Target="https://internet.garant.ru/document/redirect/401425792/0" TargetMode="External"/><Relationship Id="rId8" Type="http://schemas.openxmlformats.org/officeDocument/2006/relationships/hyperlink" Target="https://internet.garant.ru/document/redirect/70644226/0" TargetMode="External"/><Relationship Id="rId9" Type="http://schemas.openxmlformats.org/officeDocument/2006/relationships/hyperlink" Target="https://internet.garant.ru/document/redirect/400820533/0" TargetMode="External"/><Relationship Id="rId10" Type="http://schemas.openxmlformats.org/officeDocument/2006/relationships/hyperlink" Target="https://internet.garant.ru/document/redirect/17501647/0" TargetMode="External"/><Relationship Id="rId11" Type="http://schemas.openxmlformats.org/officeDocument/2006/relationships/hyperlink" Target="https://internet.garant.ru/document/redirect/74960528/0" TargetMode="External"/><Relationship Id="rId12" Type="http://schemas.openxmlformats.org/officeDocument/2006/relationships/hyperlink" Target="https://internet.garant.ru/document/redirect/70644226/111" TargetMode="External"/><Relationship Id="rId13" Type="http://schemas.openxmlformats.org/officeDocument/2006/relationships/hyperlink" Target="https://internet.garant.ru/document/redirect/70644226/111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yperlink" Target="../../../../../../Downloads/&#1043;&#1055;" TargetMode="External"/><Relationship Id="rId17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19" Type="http://schemas.openxmlformats.org/officeDocument/2006/relationships/hyperlink" Target="https://internet.garant.ru/document/redirect/12112604/19" TargetMode="External"/><Relationship Id="rId20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2112604/19" TargetMode="External"/><Relationship Id="rId23" Type="http://schemas.openxmlformats.org/officeDocument/2006/relationships/hyperlink" Target="https://internet.garant.ru/document/redirect/179222/0" TargetMode="External"/><Relationship Id="rId24" Type="http://schemas.openxmlformats.org/officeDocument/2006/relationships/hyperlink" Target="https://internet.garant.ru/document/redirect/179222/0" TargetMode="External"/><Relationship Id="rId25" Type="http://schemas.openxmlformats.org/officeDocument/2006/relationships/hyperlink" Target="https://internet.garant.ru/document/redirect/12112604/19" TargetMode="External"/><Relationship Id="rId26" Type="http://schemas.openxmlformats.org/officeDocument/2006/relationships/header" Target="header3.xml"/><Relationship Id="rId27" Type="http://schemas.openxmlformats.org/officeDocument/2006/relationships/footer" Target="footer1.xml"/><Relationship Id="rId28" Type="http://schemas.openxmlformats.org/officeDocument/2006/relationships/hyperlink" Target="https://internet.garant.ru/document/redirect/179222/0" TargetMode="External"/><Relationship Id="rId29" Type="http://schemas.openxmlformats.org/officeDocument/2006/relationships/hyperlink" Target="https://internet.garant.ru/document/redirect/179222/0" TargetMode="External"/><Relationship Id="rId30" Type="http://schemas.openxmlformats.org/officeDocument/2006/relationships/header" Target="header4.xml"/><Relationship Id="rId31" Type="http://schemas.openxmlformats.org/officeDocument/2006/relationships/footer" Target="footer2.xml"/><Relationship Id="rId32" Type="http://schemas.openxmlformats.org/officeDocument/2006/relationships/hyperlink" Target="https://internet.garant.ru/document/redirect/179222/0" TargetMode="External"/><Relationship Id="rId33" Type="http://schemas.openxmlformats.org/officeDocument/2006/relationships/hyperlink" Target="https://internet.garant.ru/document/redirect/179222/0" TargetMode="External"/><Relationship Id="rId34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70170950/0" TargetMode="External"/><Relationship Id="rId37" Type="http://schemas.openxmlformats.org/officeDocument/2006/relationships/hyperlink" Target="https://internet.garant.ru/document/redirect/70170950/0" TargetMode="External"/><Relationship Id="rId38" Type="http://schemas.openxmlformats.org/officeDocument/2006/relationships/hyperlink" Target="https://internet.garant.ru/document/redirect/179222/0" TargetMode="External"/><Relationship Id="rId39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1" Type="http://schemas.openxmlformats.org/officeDocument/2006/relationships/hyperlink" Target="https://internet.garant.ru/document/redirect/179222/0" TargetMode="External"/><Relationship Id="rId42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internet.garant.ru/document/redirect/179222/0" TargetMode="External"/><Relationship Id="rId46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71580894/1000" TargetMode="External"/><Relationship Id="rId49" Type="http://schemas.openxmlformats.org/officeDocument/2006/relationships/hyperlink" Target="https://internet.garant.ru/document/redirect/71580894/1000" TargetMode="External"/><Relationship Id="rId50" Type="http://schemas.openxmlformats.org/officeDocument/2006/relationships/hyperlink" Target="https://internet.garant.ru/document/redirect/71580894/1000" TargetMode="External"/><Relationship Id="rId51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79222/0" TargetMode="External"/><Relationship Id="rId53" Type="http://schemas.openxmlformats.org/officeDocument/2006/relationships/header" Target="header5.xml"/><Relationship Id="rId54" Type="http://schemas.openxmlformats.org/officeDocument/2006/relationships/footer" Target="footer3.xml"/><Relationship Id="rId55" Type="http://schemas.openxmlformats.org/officeDocument/2006/relationships/header" Target="header6.xml"/><Relationship Id="rId56" Type="http://schemas.openxmlformats.org/officeDocument/2006/relationships/footer" Target="footer4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824</TotalTime>
  <Application>LibreOffice/7.1.5.2$Windows_X86_64 LibreOffice_project/85f04e9f809797b8199d13c421bd8a2b025d52b5</Application>
  <AppVersion>15.0000</AppVersion>
  <Pages>31</Pages>
  <Words>11014</Words>
  <Characters>76211</Characters>
  <CharactersWithSpaces>84234</CharactersWithSpaces>
  <Paragraphs>3427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2025-02-11T09:47:00Z</dcterms:created>
  <dc:creator>sao</dc:creator>
  <dc:description/>
  <dc:language>ru-RU</dc:language>
  <cp:lastModifiedBy/>
  <cp:lastPrinted>2026-01-19T09:23:17Z</cp:lastPrinted>
  <dcterms:modified xsi:type="dcterms:W3CDTF">2026-02-11T08:36:19Z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