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bCs/>
          <w:sz w:val="8"/>
          <w:szCs w:val="8"/>
        </w:rPr>
      </w:r>
      <w:r>
        <w:rPr>
          <w:bCs/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sz w:val="8"/>
          <w:szCs w:val="8"/>
        </w:rPr>
        <w:outlineLvl w:val="0"/>
      </w:pPr>
      <w:r>
        <w:rPr>
          <w:bCs/>
          <w:sz w:val="8"/>
          <w:szCs w:val="8"/>
        </w:rPr>
      </w:r>
      <w:r>
        <w:rPr>
          <w:sz w:val="8"/>
          <w:szCs w:val="8"/>
        </w:rPr>
      </w:r>
    </w:p>
    <w:p>
      <w:pPr>
        <w:pStyle w:val="694"/>
        <w:jc w:val="center"/>
        <w:tabs>
          <w:tab w:val="left" w:pos="7780" w:leader="none"/>
        </w:tabs>
        <w:rPr>
          <w:bCs/>
          <w:sz w:val="28"/>
          <w:szCs w:val="24"/>
        </w:rPr>
        <w:outlineLvl w:val="0"/>
      </w:pPr>
      <w:r>
        <w:rPr>
          <w:bCs/>
          <w:sz w:val="28"/>
          <w:szCs w:val="24"/>
        </w:rPr>
      </w:r>
      <w:r>
        <w:rPr>
          <w:bCs/>
          <w:sz w:val="28"/>
          <w:szCs w:val="24"/>
        </w:rPr>
      </w:r>
    </w:p>
    <w:p>
      <w:pPr>
        <w:pStyle w:val="694"/>
        <w:jc w:val="center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40"/>
          <w:szCs w:val="40"/>
        </w:rPr>
        <w:outlineLvl w:val="0"/>
      </w:pPr>
      <w:r>
        <w:rPr>
          <w:rFonts w:ascii="PT Astra Serif" w:hAnsi="PT Astra Serif" w:eastAsia="PT Astra Serif" w:cs="PT Astra Serif"/>
          <w:b/>
          <w:bCs/>
          <w:sz w:val="40"/>
          <w:szCs w:val="40"/>
        </w:rPr>
        <w:t xml:space="preserve">ЗАКОН</w:t>
      </w:r>
      <w:r>
        <w:rPr>
          <w:rFonts w:ascii="PT Astra Serif" w:hAnsi="PT Astra Serif" w:cs="PT Astra Serif"/>
          <w:b/>
          <w:bCs/>
          <w:sz w:val="40"/>
          <w:szCs w:val="40"/>
        </w:rPr>
      </w:r>
    </w:p>
    <w:p>
      <w:pPr>
        <w:pStyle w:val="694"/>
        <w:jc w:val="center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40"/>
          <w:szCs w:val="40"/>
        </w:rPr>
        <w:outlineLvl w:val="0"/>
      </w:pPr>
      <w:r>
        <w:rPr>
          <w:rFonts w:ascii="PT Astra Serif" w:hAnsi="PT Astra Serif" w:eastAsia="PT Astra Serif" w:cs="PT Astra Serif"/>
          <w:b/>
          <w:bCs/>
          <w:sz w:val="40"/>
          <w:szCs w:val="40"/>
        </w:rPr>
        <w:t xml:space="preserve">ЧУВАШСКОЙ РЕСПУБЛИКИ</w:t>
      </w:r>
      <w:r>
        <w:rPr>
          <w:rFonts w:ascii="PT Astra Serif" w:hAnsi="PT Astra Serif" w:cs="PT Astra Serif"/>
          <w:b/>
          <w:bCs/>
          <w:sz w:val="40"/>
          <w:szCs w:val="40"/>
        </w:rPr>
      </w:r>
    </w:p>
    <w:p>
      <w:pPr>
        <w:pStyle w:val="694"/>
        <w:jc w:val="center"/>
        <w:spacing w:line="302" w:lineRule="auto"/>
        <w:tabs>
          <w:tab w:val="left" w:pos="7780" w:leader="none"/>
        </w:tabs>
        <w:rPr>
          <w:rFonts w:ascii="PT Astra Serif" w:hAnsi="PT Astra Serif" w:cs="PT Astra Serif"/>
          <w:bCs/>
          <w:sz w:val="28"/>
          <w:szCs w:val="24"/>
        </w:rPr>
        <w:outlineLvl w:val="0"/>
      </w:pPr>
      <w:r>
        <w:rPr>
          <w:rFonts w:ascii="PT Astra Serif" w:hAnsi="PT Astra Serif" w:eastAsia="PT Astra Serif" w:cs="PT Astra Serif"/>
          <w:bCs/>
          <w:sz w:val="28"/>
          <w:szCs w:val="24"/>
        </w:rPr>
      </w:r>
      <w:r>
        <w:rPr>
          <w:rFonts w:ascii="PT Astra Serif" w:hAnsi="PT Astra Serif" w:cs="PT Astra Serif"/>
          <w:bCs/>
          <w:sz w:val="28"/>
          <w:szCs w:val="24"/>
        </w:rPr>
      </w:r>
    </w:p>
    <w:p>
      <w:pPr>
        <w:pStyle w:val="694"/>
        <w:jc w:val="center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32"/>
          <w:szCs w:val="24"/>
        </w:rPr>
        <w:outlineLvl w:val="0"/>
      </w:pPr>
      <w:r>
        <w:rPr>
          <w:rFonts w:ascii="PT Astra Serif" w:hAnsi="PT Astra Serif" w:eastAsia="PT Astra Serif" w:cs="PT Astra Serif"/>
          <w:b/>
          <w:bCs/>
          <w:sz w:val="32"/>
          <w:szCs w:val="24"/>
        </w:rPr>
        <w:t xml:space="preserve">О ВНЕСЕНИИ ИЗМЕНЕНИЙ В СТАТЬЮ 2 ЗАКОНА </w:t>
      </w:r>
      <w:r>
        <w:rPr>
          <w:rFonts w:ascii="PT Astra Serif" w:hAnsi="PT Astra Serif" w:cs="PT Astra Serif"/>
          <w:b/>
          <w:bCs/>
          <w:sz w:val="32"/>
          <w:szCs w:val="24"/>
        </w:rPr>
      </w:r>
    </w:p>
    <w:p>
      <w:pPr>
        <w:pStyle w:val="694"/>
        <w:jc w:val="center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32"/>
          <w:szCs w:val="32"/>
        </w:rPr>
        <w:outlineLvl w:val="0"/>
      </w:pPr>
      <w:r>
        <w:rPr>
          <w:rFonts w:ascii="PT Astra Serif" w:hAnsi="PT Astra Serif" w:eastAsia="PT Astra Serif" w:cs="PT Astra Serif"/>
          <w:b/>
          <w:bCs/>
          <w:sz w:val="32"/>
          <w:szCs w:val="24"/>
        </w:rPr>
        <w:t xml:space="preserve">ЧУВАШСКОЙ РЕСПУБЛИКИ</w:t>
      </w:r>
      <w:r>
        <w:rPr>
          <w:rFonts w:ascii="PT Astra Serif" w:hAnsi="PT Astra Serif" w:eastAsia="PT Astra Serif" w:cs="PT Astra Serif"/>
          <w:b/>
          <w:bCs/>
          <w:sz w:val="32"/>
          <w:szCs w:val="24"/>
        </w:rPr>
        <w:t xml:space="preserve"> «ОБ АДМИНИСТРАТИВНЫХ КОМИССИЯХ» И ПРИЛОЖЕНИЕ 1 К ЗАКОНУ ЧУВАШСКОЙ РЕСПУБЛИКИ «О МУНИЦИПАЛЬНОЙ СЛУЖБЕ В ЧУВАШСКОЙ РЕСПУБЛИКЕ»</w:t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center"/>
        <w:spacing w:line="302" w:lineRule="auto"/>
        <w:rPr>
          <w:rFonts w:ascii="PT Astra Serif" w:hAnsi="PT Astra Serif" w:cs="PT Astra Serif"/>
          <w:iCs/>
          <w:sz w:val="40"/>
          <w:szCs w:val="40"/>
        </w:rPr>
      </w:pPr>
      <w:r>
        <w:rPr>
          <w:rFonts w:ascii="PT Astra Serif" w:hAnsi="PT Astra Serif" w:eastAsia="PT Astra Serif" w:cs="PT Astra Serif"/>
          <w:iCs/>
          <w:sz w:val="40"/>
          <w:szCs w:val="56"/>
        </w:rPr>
      </w:r>
      <w:r>
        <w:rPr>
          <w:rFonts w:ascii="PT Astra Serif" w:hAnsi="PT Astra Serif" w:cs="PT Astra Serif"/>
          <w:iCs/>
          <w:sz w:val="40"/>
          <w:szCs w:val="40"/>
        </w:rPr>
      </w:r>
    </w:p>
    <w:p>
      <w:pPr>
        <w:pStyle w:val="697"/>
        <w:ind w:left="5954"/>
        <w:jc w:val="center"/>
        <w:spacing w:before="0" w:beforeAutospacing="0" w:after="0" w:afterAutospacing="0" w:line="302" w:lineRule="auto"/>
        <w:tabs>
          <w:tab w:val="left" w:pos="4062" w:leader="none"/>
        </w:tabs>
        <w:rPr>
          <w:rFonts w:ascii="PT Astra Serif" w:hAnsi="PT Astra Serif" w:cs="PT Astra Serif"/>
          <w:i/>
          <w:iCs/>
          <w:sz w:val="26"/>
          <w:szCs w:val="26"/>
        </w:rPr>
      </w:pPr>
      <w:r>
        <w:rPr>
          <w:rFonts w:ascii="PT Astra Serif" w:hAnsi="PT Astra Serif" w:eastAsia="PT Astra Serif" w:cs="PT Astra Serif"/>
          <w:i/>
          <w:iCs/>
          <w:sz w:val="26"/>
          <w:szCs w:val="26"/>
        </w:rPr>
        <w:t xml:space="preserve">Принят</w:t>
      </w:r>
      <w:r>
        <w:rPr>
          <w:rFonts w:ascii="PT Astra Serif" w:hAnsi="PT Astra Serif" w:cs="PT Astra Serif"/>
          <w:i/>
          <w:iCs/>
          <w:sz w:val="26"/>
          <w:szCs w:val="26"/>
        </w:rPr>
      </w:r>
    </w:p>
    <w:p>
      <w:pPr>
        <w:pStyle w:val="698"/>
        <w:ind w:left="5954"/>
        <w:jc w:val="center"/>
        <w:spacing w:before="0" w:beforeAutospacing="0" w:after="0" w:afterAutospacing="0" w:line="302" w:lineRule="auto"/>
        <w:tabs>
          <w:tab w:val="left" w:pos="4062" w:leader="none"/>
        </w:tabs>
        <w:rPr>
          <w:rFonts w:ascii="PT Astra Serif" w:hAnsi="PT Astra Serif" w:cs="PT Astra Serif"/>
          <w:i/>
          <w:iCs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6"/>
          <w:szCs w:val="26"/>
        </w:rPr>
        <w:t xml:space="preserve">Государственным Советом</w:t>
      </w:r>
      <w:r>
        <w:rPr>
          <w:rFonts w:ascii="PT Astra Serif" w:hAnsi="PT Astra Serif" w:cs="PT Astra Serif"/>
          <w:i/>
          <w:iCs/>
          <w:color w:val="000000"/>
          <w:sz w:val="26"/>
          <w:szCs w:val="26"/>
        </w:rPr>
      </w:r>
    </w:p>
    <w:p>
      <w:pPr>
        <w:pStyle w:val="698"/>
        <w:ind w:left="5954"/>
        <w:jc w:val="center"/>
        <w:spacing w:before="0" w:beforeAutospacing="0" w:after="0" w:afterAutospacing="0" w:line="302" w:lineRule="auto"/>
        <w:tabs>
          <w:tab w:val="left" w:pos="4062" w:leader="none"/>
        </w:tabs>
        <w:rPr>
          <w:rFonts w:ascii="PT Astra Serif" w:hAnsi="PT Astra Serif" w:cs="PT Astra Serif"/>
          <w:i/>
          <w:iCs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6"/>
          <w:szCs w:val="26"/>
        </w:rPr>
        <w:t xml:space="preserve">Чувашской Республики</w:t>
      </w:r>
      <w:r>
        <w:rPr>
          <w:rFonts w:ascii="PT Astra Serif" w:hAnsi="PT Astra Serif" w:cs="PT Astra Serif"/>
          <w:i/>
          <w:iCs/>
          <w:color w:val="000000"/>
          <w:sz w:val="26"/>
          <w:szCs w:val="26"/>
        </w:rPr>
      </w:r>
    </w:p>
    <w:p>
      <w:pPr>
        <w:ind w:left="5954"/>
        <w:jc w:val="center"/>
        <w:spacing w:line="302" w:lineRule="auto"/>
        <w:rPr>
          <w:rFonts w:ascii="PT Astra Serif" w:hAnsi="PT Astra Serif" w:cs="PT Astra Serif"/>
          <w:i/>
          <w:iCs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6"/>
          <w:szCs w:val="26"/>
        </w:rPr>
        <w:t xml:space="preserve">                </w:t>
      </w:r>
      <w:r>
        <w:rPr>
          <w:rFonts w:ascii="PT Astra Serif" w:hAnsi="PT Astra Serif" w:eastAsia="PT Astra Serif" w:cs="PT Astra Serif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i/>
          <w:iCs/>
          <w:color w:val="000000"/>
          <w:sz w:val="26"/>
          <w:szCs w:val="26"/>
        </w:rPr>
        <w:t xml:space="preserve">2025 года</w:t>
      </w:r>
      <w:r>
        <w:rPr>
          <w:rFonts w:ascii="PT Astra Serif" w:hAnsi="PT Astra Serif" w:cs="PT Astra Serif"/>
          <w:i/>
          <w:iCs/>
          <w:color w:val="000000"/>
          <w:sz w:val="26"/>
          <w:szCs w:val="26"/>
        </w:rPr>
      </w:r>
    </w:p>
    <w:p>
      <w:pPr>
        <w:ind w:firstLine="709"/>
        <w:jc w:val="center"/>
        <w:spacing w:line="240" w:lineRule="auto"/>
        <w:rPr>
          <w:rFonts w:ascii="PT Astra Serif" w:hAnsi="PT Astra Serif" w:cs="PT Astra Serif"/>
          <w:iCs/>
          <w:sz w:val="40"/>
          <w:szCs w:val="56"/>
        </w:rPr>
      </w:pPr>
      <w:r>
        <w:rPr>
          <w:rFonts w:ascii="PT Astra Serif" w:hAnsi="PT Astra Serif" w:eastAsia="PT Astra Serif" w:cs="PT Astra Serif"/>
          <w:iCs/>
          <w:sz w:val="40"/>
          <w:szCs w:val="56"/>
        </w:rPr>
      </w:r>
      <w:r>
        <w:rPr>
          <w:rFonts w:ascii="PT Astra Serif" w:hAnsi="PT Astra Serif" w:cs="PT Astra Serif"/>
          <w:iCs/>
          <w:sz w:val="40"/>
          <w:szCs w:val="56"/>
        </w:rPr>
      </w:r>
    </w:p>
    <w:p>
      <w:pPr>
        <w:pStyle w:val="694"/>
        <w:ind w:firstLine="709"/>
        <w:jc w:val="both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both"/>
        <w:spacing w:line="302" w:lineRule="auto"/>
        <w:rPr>
          <w:rFonts w:ascii="PT Astra Serif" w:hAnsi="PT Astra Serif" w:cs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</w:t>
      </w:r>
      <w:hyperlink r:id="rId11" w:tooltip="https://login.consultant.ru/link/?req=doc&amp;base=LAW&amp;n=389734&amp;dst=100562&amp;field=134&amp;date=06.06.2024" w:history="1">
        <w:r>
          <w:rPr>
            <w:rStyle w:val="693"/>
            <w:rFonts w:ascii="PT Astra Serif" w:hAnsi="PT Astra Serif" w:eastAsia="PT Astra Serif" w:cs="PT Astra Serif"/>
            <w:sz w:val="28"/>
            <w:szCs w:val="28"/>
          </w:rPr>
          <w:t xml:space="preserve">пункт </w:t>
        </w:r>
        <w:r>
          <w:rPr>
            <w:rStyle w:val="693"/>
            <w:rFonts w:ascii="PT Astra Serif" w:hAnsi="PT Astra Serif" w:eastAsia="PT Astra Serif" w:cs="PT Astra Serif"/>
            <w:sz w:val="28"/>
            <w:szCs w:val="28"/>
          </w:rPr>
          <w:t xml:space="preserve">2</w:t>
        </w:r>
        <w:r>
          <w:rPr>
            <w:rStyle w:val="693"/>
            <w:rFonts w:ascii="PT Astra Serif" w:hAnsi="PT Astra Serif" w:eastAsia="PT Astra Serif" w:cs="PT Astra Serif"/>
            <w:sz w:val="28"/>
            <w:szCs w:val="28"/>
          </w:rPr>
          <w:t xml:space="preserve"> 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статьи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12" w:tooltip="https://login.consultant.ru/link/?req=doc&amp;base=RLAW098&amp;n=170036&amp;date=06.06.2024" w:history="1">
        <w:r>
          <w:rPr>
            <w:rStyle w:val="693"/>
            <w:rFonts w:ascii="PT Astra Serif" w:hAnsi="PT Astra Serif" w:eastAsia="PT Astra Serif" w:cs="PT Astra Serif"/>
            <w:sz w:val="28"/>
            <w:szCs w:val="28"/>
          </w:rPr>
          <w:t xml:space="preserve">Закон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а Чувашской Республики 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30 мая 2003 года № 17 «Об административных комиссиях» (Ведомости Госуда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ственного Совета Чувашской Республики, 2003,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54; 2005,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65; 2010,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84; Собрание законодательства Чувашской Республики, 2013,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12; 2014,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9; газета «Республика», 2021, 27 октября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22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декабря)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изм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нение,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заменив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слова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города Чебоксары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сл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вами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городского округа город Чебоксары Чувашской Республики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.</w:t>
      </w:r>
      <w:r>
        <w:rPr>
          <w:rFonts w:ascii="PT Astra Serif" w:hAnsi="PT Astra Serif" w:cs="PT Astra Serif"/>
          <w:spacing w:val="-4"/>
          <w:sz w:val="28"/>
          <w:szCs w:val="28"/>
          <w:highlight w:val="none"/>
        </w:rPr>
      </w:r>
    </w:p>
    <w:p>
      <w:pPr>
        <w:pStyle w:val="694"/>
        <w:ind w:firstLine="709"/>
        <w:jc w:val="both"/>
        <w:spacing w:line="302" w:lineRule="auto"/>
        <w:tabs>
          <w:tab w:val="left" w:pos="7780" w:leader="none"/>
        </w:tabs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pStyle w:val="694"/>
        <w:ind w:firstLine="709"/>
        <w:jc w:val="both"/>
        <w:spacing w:line="302" w:lineRule="auto"/>
        <w:tabs>
          <w:tab w:val="left" w:pos="7780" w:leader="none"/>
        </w:tabs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2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302" w:lineRule="auto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подраздел 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«Должности специалистов» раздела I «Перечень должностей в исполнительно-распорядительных органах местного самоуправления» приложения 1 «Реестр должностей муниципальной службы в Чувашской Республике» к Закону Чувашской Республики от 5 октября 2007 года №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62 «О муниципальной службе в Чувашской Республике» (Ведомости Государственного Совета Чувашской Республики, 2007, № 74; 2009, № 80; 2011, № 90; 2012, № 92 (том I), 94; Собрание законодательства Чувашской Республики, 2013, № 3, 11; 2014, № 5; 2015, № 5, 12;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2016, № 6, 12; 2017, № 9; газета «Республика», 2017, 27 декабря; 2018, 26 сентября; 2019, 13 марта; 2020, 11 марта, 30 сентября; 2021, 27 октября, 29 декабря; 2022, 5 мая, 9 ноября, 28 декабря; 2023, 19 июля, 13 декабря; 2024, 3 мая, 30 октября) следующие изменения: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31"/>
        <w:numPr>
          <w:ilvl w:val="0"/>
          <w:numId w:val="1"/>
        </w:numPr>
        <w:ind w:left="142" w:right="0" w:firstLine="567"/>
        <w:jc w:val="left"/>
        <w:spacing w:before="0" w:after="0" w:line="302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после позиции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1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«Заместитель начальника отдела администрации района в городском округе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1-2-3-03»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PT Astra Serif" w:hAnsi="PT Astra Serif" w:eastAsia="PT Astra Serif" w:cs="PT Astra Serif"/>
          <w:color w:val="0000ff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ff"/>
          <w:sz w:val="28"/>
          <w:szCs w:val="28"/>
          <w:u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ff"/>
          <w:sz w:val="28"/>
          <w:szCs w:val="28"/>
          <w:u w:val="none"/>
        </w:rPr>
        <w:t xml:space="preserve">дополнить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позицией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1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«Пресс-секретарь главы администрации муниципального округа, городского округа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1-2-3-04»;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br/>
        <w:t xml:space="preserve">          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)  </w:t>
      </w:r>
      <w:r>
        <w:rPr>
          <w:rFonts w:ascii="PT Astra Serif" w:hAnsi="PT Astra Serif" w:eastAsia="PT Astra Serif" w:cs="PT Astra Serif"/>
          <w:color w:val="0000ff"/>
          <w:sz w:val="28"/>
          <w:szCs w:val="28"/>
          <w:u w:val="none"/>
        </w:rPr>
        <w:t xml:space="preserve">позицию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1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«Пресс-секретарь главы администрации муниципального округа, городского округа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1-2-4-02»;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исключить;</w:t>
      </w:r>
      <w:r/>
    </w:p>
    <w:p>
      <w:pPr>
        <w:pStyle w:val="694"/>
        <w:ind w:firstLine="709"/>
        <w:jc w:val="both"/>
        <w:spacing w:line="240" w:lineRule="auto"/>
        <w:tabs>
          <w:tab w:val="left" w:pos="7780" w:leader="none"/>
        </w:tabs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3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)  </w:t>
      </w:r>
      <w:r>
        <w:rPr>
          <w:rFonts w:ascii="PT Astra Serif" w:hAnsi="PT Astra Serif" w:eastAsia="PT Astra Serif" w:cs="PT Astra Serif"/>
          <w:color w:val="0000ff"/>
          <w:sz w:val="28"/>
          <w:szCs w:val="28"/>
          <w:u w:val="none"/>
        </w:rPr>
        <w:t xml:space="preserve">позицию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1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«Главный специалист-эксперт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1-2-4-03»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</w:tbl>
    <w:p>
      <w:pPr>
        <w:pStyle w:val="694"/>
        <w:ind w:firstLine="709"/>
        <w:jc w:val="both"/>
        <w:spacing w:line="240" w:lineRule="auto"/>
        <w:tabs>
          <w:tab w:val="left" w:pos="7780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694"/>
        <w:ind w:left="0" w:right="0" w:firstLine="0"/>
        <w:jc w:val="both"/>
        <w:spacing w:line="240" w:lineRule="auto"/>
        <w:tabs>
          <w:tab w:val="left" w:pos="7780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изложить в следующей редакции: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694"/>
        <w:ind w:firstLine="709"/>
        <w:jc w:val="both"/>
        <w:spacing w:line="240" w:lineRule="auto"/>
        <w:tabs>
          <w:tab w:val="left" w:pos="7780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1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«Главный специалист-эксперт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1-2-4-02».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</w:tbl>
    <w:p>
      <w:pPr>
        <w:pStyle w:val="694"/>
        <w:ind w:firstLine="709"/>
        <w:jc w:val="both"/>
        <w:spacing w:line="240" w:lineRule="auto"/>
        <w:tabs>
          <w:tab w:val="left" w:pos="7780" w:leader="none"/>
        </w:tabs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694"/>
        <w:ind w:firstLine="709"/>
        <w:jc w:val="both"/>
        <w:spacing w:line="302" w:lineRule="auto"/>
        <w:tabs>
          <w:tab w:val="left" w:pos="7780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3</w:t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94"/>
        <w:ind w:firstLine="709"/>
        <w:jc w:val="both"/>
        <w:spacing w:line="302" w:lineRule="auto"/>
        <w:tabs>
          <w:tab w:val="left" w:pos="7780" w:leader="none"/>
        </w:tabs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оящий Закон вступает в силу со дня его официального опубл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кования.</w:t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>
        <w:tblPrEx/>
        <w:trPr/>
        <w:tc>
          <w:tcPr>
            <w:tcW w:w="1661" w:type="pct"/>
            <w:textDirection w:val="lrTb"/>
            <w:noWrap w:val="false"/>
          </w:tcPr>
          <w:p>
            <w:pPr>
              <w:jc w:val="center"/>
              <w:spacing w:line="302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302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302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Чувашской Республики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339" w:type="pct"/>
            <w:textDirection w:val="lrTb"/>
            <w:noWrap w:val="false"/>
          </w:tcPr>
          <w:p>
            <w:pPr>
              <w:spacing w:line="302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302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О. Николаев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line="302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302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г. Чебоксары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302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 года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bookmarkStart w:id="0" w:name="_GoBack"/>
      <w:r/>
      <w:bookmarkEnd w:id="0"/>
      <w:r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06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2"/>
      </w:rPr>
      <w:framePr w:wrap="around" w:vAnchor="text" w:hAnchor="margin" w:xAlign="center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separate"/>
    </w:r>
    <w:r>
      <w:rPr>
        <w:rStyle w:val="692"/>
      </w:rPr>
      <w:t xml:space="preserve">2</w:t>
    </w:r>
    <w:r>
      <w:rPr>
        <w:rStyle w:val="692"/>
      </w:rPr>
      <w:fldChar w:fldCharType="end"/>
    </w:r>
    <w:r>
      <w:rPr>
        <w:rStyle w:val="692"/>
      </w:rPr>
    </w:r>
  </w:p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2"/>
      </w:rPr>
      <w:framePr w:wrap="around" w:vAnchor="text" w:hAnchor="margin" w:xAlign="center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end"/>
    </w:r>
    <w:r>
      <w:rPr>
        <w:rStyle w:val="692"/>
      </w:rPr>
    </w:r>
  </w:p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1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8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sz w:val="24"/>
      <w:szCs w:val="24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Header"/>
    <w:basedOn w:val="687"/>
    <w:pPr>
      <w:tabs>
        <w:tab w:val="center" w:pos="4677" w:leader="none"/>
        <w:tab w:val="right" w:pos="9355" w:leader="none"/>
      </w:tabs>
    </w:pPr>
  </w:style>
  <w:style w:type="character" w:styleId="692">
    <w:name w:val="page number"/>
    <w:basedOn w:val="688"/>
  </w:style>
  <w:style w:type="character" w:styleId="693">
    <w:name w:val="Hyperlink"/>
    <w:uiPriority w:val="99"/>
    <w:unhideWhenUsed/>
    <w:qFormat/>
    <w:rPr>
      <w:color w:val="333333"/>
      <w:u w:val="none"/>
    </w:rPr>
  </w:style>
  <w:style w:type="paragraph" w:styleId="694" w:customStyle="1">
    <w:name w:val="ConsPlusNormal"/>
    <w:qFormat/>
    <w:pPr>
      <w:widowControl w:val="off"/>
    </w:pPr>
  </w:style>
  <w:style w:type="paragraph" w:styleId="695">
    <w:name w:val="Balloon Text"/>
    <w:basedOn w:val="687"/>
    <w:link w:val="696"/>
    <w:rPr>
      <w:rFonts w:ascii="Tahoma" w:hAnsi="Tahoma" w:cs="Tahoma"/>
      <w:sz w:val="16"/>
      <w:szCs w:val="16"/>
    </w:rPr>
  </w:style>
  <w:style w:type="character" w:styleId="696" w:customStyle="1">
    <w:name w:val="Текст выноски Знак"/>
    <w:basedOn w:val="688"/>
    <w:link w:val="695"/>
    <w:rPr>
      <w:rFonts w:ascii="Tahoma" w:hAnsi="Tahoma" w:cs="Tahoma"/>
      <w:sz w:val="16"/>
      <w:szCs w:val="16"/>
    </w:rPr>
  </w:style>
  <w:style w:type="paragraph" w:styleId="697" w:customStyle="1">
    <w:name w:val="consnonformat"/>
    <w:basedOn w:val="687"/>
    <w:pPr>
      <w:spacing w:before="100" w:beforeAutospacing="1" w:after="100" w:afterAutospacing="1"/>
    </w:pPr>
  </w:style>
  <w:style w:type="paragraph" w:styleId="698" w:customStyle="1">
    <w:name w:val="consnormal"/>
    <w:basedOn w:val="687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389734&amp;dst=100562&amp;field=134&amp;date=06.06.2024" TargetMode="External"/><Relationship Id="rId12" Type="http://schemas.openxmlformats.org/officeDocument/2006/relationships/hyperlink" Target="https://login.consultant.ru/link/?req=doc&amp;base=RLAW098&amp;n=170036&amp;date=06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Валерьевна</dc:creator>
  <cp:revision>6</cp:revision>
  <dcterms:created xsi:type="dcterms:W3CDTF">2024-11-02T11:01:00Z</dcterms:created>
  <dcterms:modified xsi:type="dcterms:W3CDTF">2025-01-23T12:58:50Z</dcterms:modified>
</cp:coreProperties>
</file>