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 ЗАКОНОДАТЕЛЬСТВА 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НЕКОММЕРЧЕСКИХ ОРГАНИЗАЦИЙ 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ОРИЕНТИРОВАННЫМИ</w:t>
      </w:r>
      <w:bookmarkStart w:id="0" w:name="_GoBack"/>
      <w:r/>
      <w:bookmarkEnd w:id="0"/>
      <w:r/>
      <w:r/>
    </w:p>
    <w:p>
      <w:pPr>
        <w:ind w:firstLine="709"/>
        <w:jc w:val="both"/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некоммерческих организаций регулируется Федеральным законом «О некоммерческих организациях» от 12.01.1996 № 7-ФЗ (далее – ФЗ № 7).</w:t>
      </w:r>
      <w:r/>
    </w:p>
    <w:p>
      <w:pPr>
        <w:ind w:firstLine="709"/>
        <w:jc w:val="both"/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является организация, не имеющая извлечение прибыли в качестве основной цели своей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 распределяющая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полученную </w:t>
      </w:r>
      <w:r>
        <w:rPr>
          <w:rFonts w:ascii="Times New Roman" w:hAnsi="Times New Roman" w:cs="Times New Roman"/>
          <w:sz w:val="28"/>
          <w:szCs w:val="28"/>
        </w:rPr>
        <w:t xml:space="preserve">прибыль между участниками.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2.1. статьи 2 вышеуказанного ФЗ № 7, социально ориентированными некоммерческими организациями (СОНКО) признаются некоммерческие организации, созданные в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нных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Федерации, а также виды деятельности,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предусмотренные статьей 31.1 ФЗ № 7.</w:t>
      </w:r>
      <w:r/>
    </w:p>
    <w:p>
      <w:pPr>
        <w:pStyle w:val="680"/>
        <w:contextualSpacing w:val="0"/>
        <w:ind w:left="0" w:firstLine="709"/>
        <w:jc w:val="both"/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признания некоммерческой организации социально ориентированной ее вид деятельности должен быть отражен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учредительных документах (устав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80"/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вид деятельности организации рекомендуется указать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видами деятельности, перечисленными в пункте</w:t>
      </w:r>
      <w:r>
        <w:rPr>
          <w:rFonts w:ascii="Times New Roman" w:hAnsi="Times New Roman" w:cs="Times New Roman"/>
          <w:sz w:val="28"/>
          <w:szCs w:val="28"/>
        </w:rPr>
        <w:t xml:space="preserve"> 1 статьи 31.1 ФЗ № 7</w:t>
      </w:r>
      <w:r>
        <w:rPr>
          <w:rFonts w:ascii="Times New Roman" w:hAnsi="Times New Roman" w:cs="Times New Roman"/>
          <w:sz w:val="28"/>
          <w:szCs w:val="28"/>
        </w:rPr>
        <w:t xml:space="preserve">, а именно: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социальное обслуживание, социальная поддержка и защита граждан;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подготовка населения к преодолению последствий стихийных бедствий, экологических, техногенных или иных катастроф,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предотвращению несчастных случаев;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охрана окружающей среды и защита животных;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ab/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оказание юридической помощи на безвозмездной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на льготной основе гражданам и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правовое просвещение населения, деятельность по защите прав и свобод человека и гражданина;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профилактика социально опасных форм поведения граждан;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содействие указанной деятельности, а также содействие духовному развитию личности;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в обществе нетерпимости к коррупционному поведению;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развитие межнационального сотрудничества, сохранение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защита самобытности, культуры, языков и традиций народов Российской Федерации;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в сфере патриотического, в том числе военно-патриотического, воспитания граждан Российской Федерации;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участие в профилактике и (или) тушении пожаров и проведении аварийно-спасательных работ;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социальная и культурная адаптация и интеграция мигрантов;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медицинской реабилитации и социальной реабилитации, социальной и трудовой </w:t>
      </w:r>
      <w:r>
        <w:rPr>
          <w:rFonts w:ascii="Times New Roman" w:hAnsi="Times New Roman" w:cs="Times New Roman"/>
          <w:sz w:val="28"/>
          <w:szCs w:val="28"/>
        </w:rPr>
        <w:t xml:space="preserve">реинтеграции</w:t>
      </w:r>
      <w:r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  <w:r/>
    </w:p>
    <w:p>
      <w:pPr>
        <w:pStyle w:val="68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содействие повышению мобильности трудовых ресурсов;</w:t>
      </w:r>
      <w:r/>
    </w:p>
    <w:p>
      <w:pPr>
        <w:pStyle w:val="680"/>
        <w:contextualSpacing w:val="0"/>
        <w:ind w:left="0" w:firstLine="709"/>
        <w:jc w:val="both"/>
        <w:spacing w:after="12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</w:t>
      </w:r>
      <w:r>
        <w:rPr>
          <w:rFonts w:ascii="Times New Roman" w:hAnsi="Times New Roman" w:cs="Times New Roman"/>
          <w:sz w:val="28"/>
          <w:szCs w:val="28"/>
        </w:rPr>
        <w:tab/>
        <w:t xml:space="preserve">увековечение памяти жертв политических репрессий.</w:t>
      </w:r>
      <w:r/>
    </w:p>
    <w:p>
      <w:pPr>
        <w:pStyle w:val="680"/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если в уставе организации указан не вид деятельности,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предмет или задачи, целесообразно внести изменения в устав с учетом вышеперечисленных рекомендаций, при этом организация может указать сразу несколько видов деятельности.</w:t>
      </w:r>
      <w:r/>
    </w:p>
    <w:p>
      <w:pPr>
        <w:pStyle w:val="680"/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Необходимо обратить внимание, что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никаких иных документов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(справки, выписки, свидетельства и др.)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подтверждающих статус некоммерческих организаций как социально ориентированных, законом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не предусмотрено.</w:t>
      </w:r>
      <w:r>
        <w:rPr>
          <w:highlight w:val="yellow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закон предусматривает следующие формы СОНКО:</w:t>
      </w:r>
      <w:r/>
    </w:p>
    <w:p>
      <w:pPr>
        <w:pStyle w:val="680"/>
        <w:numPr>
          <w:ilvl w:val="0"/>
          <w:numId w:val="1"/>
        </w:numPr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(за исключением политических партий)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объединения граждан, объединившихся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основе общности их интересов для удовлетворения духовных или иных нематериальных потребностей,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представления и защиты общих интересов и достижения иных не противоречащих закону целей;</w:t>
      </w:r>
      <w:r/>
    </w:p>
    <w:p>
      <w:pPr>
        <w:pStyle w:val="680"/>
        <w:numPr>
          <w:ilvl w:val="0"/>
          <w:numId w:val="1"/>
        </w:numPr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религиозные </w:t>
      </w:r>
      <w:r>
        <w:rPr>
          <w:rFonts w:ascii="Times New Roman" w:hAnsi="Times New Roman" w:cs="Times New Roman"/>
          <w:sz w:val="28"/>
          <w:szCs w:val="28"/>
        </w:rPr>
        <w:t xml:space="preserve"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это также добровольные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граждан РФ или иных лиц, постоянно и на законных основаниях проживающих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, образованные в целях совместного исповедания и распространения веры и обладающие соответствующими этой цели признаками: вероисповедание, совершение богослужений, других религиозных обрядов и церемоний. При этом запрещаются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деятельность религиозных объединений, цели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деятельность которых противоречат закону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не имеющие членства некоммерческие организации, учрежденные гражданами и (или) юридическими лицами на основе добровольных имущественных взносов и преследующие социальные, благотворительные, культурные, образовательные или иные общественно полезные цели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некоммерческие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– основанные на членстве некоммерческие организации, учрежденные гражданами и (или)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для содействия ее членам в осуществлении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в 2014 году были внесены большие изменения в законодательство о юридических лицах, и Некоммерческие партнерства уп</w:t>
      </w:r>
      <w:r>
        <w:rPr>
          <w:rFonts w:ascii="Times New Roman" w:hAnsi="Times New Roman" w:cs="Times New Roman"/>
          <w:sz w:val="28"/>
          <w:szCs w:val="28"/>
        </w:rPr>
        <w:t xml:space="preserve">разднили как разновидность некоммерческих организаций. Это не значит, что все Некоммерческие партнерства, действующие на тот момент, были ликвидированы в принудительном порядке. Это значит, что теперь нельзя зарегистрировать новое Некоммерческое партнерств</w:t>
      </w:r>
      <w:r>
        <w:rPr>
          <w:rFonts w:ascii="Times New Roman" w:hAnsi="Times New Roman" w:cs="Times New Roman"/>
          <w:sz w:val="28"/>
          <w:szCs w:val="28"/>
        </w:rPr>
        <w:t xml:space="preserve">о. Все действующие Некоммерческие партнерства на момент принятия закона продолжают существовать и дальше, однако теперь к ним применяются нормы об Ассоциациях (Союзах). Учредительные документы Некоммерческого партнерства продолжают действие только в части,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противоречащей законодательству. Законодательство не устанавливает обязанность немедленно преобразовать Некоммерческое партнерство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Ассоциацию, но при ближайших изменениях в учредительные документы, необходимо будет провести преобразование Некоммерческого партнерства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Ассоциацию. При этом необходимо менять не только наименование,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 и регистрировать новую редакцию устава в Министерстве Юстиции. Наименование Ассоциации, создаваемой в процессе преобразования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Некоммерческого партнёрства, обязательно должно содержать указание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организационно-правовую форму (слово «Ассоциация» или «союз»). Дл</w:t>
      </w:r>
      <w:r>
        <w:rPr>
          <w:rFonts w:ascii="Times New Roman" w:hAnsi="Times New Roman" w:cs="Times New Roman"/>
          <w:sz w:val="28"/>
          <w:szCs w:val="28"/>
        </w:rPr>
        <w:t xml:space="preserve">я того, чтобы преобразовать Некоммерческое партнерство, необходимо собрать общее собрание членов Некоммерческого партнерства, на котором члены Некоммерческого партнёрства голосуют по вопросам преобразования Некоммерческого партнерства в Ассоциацию или союз</w:t>
      </w:r>
      <w:r>
        <w:rPr>
          <w:rStyle w:val="68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contextualSpacing w:val="0"/>
        <w:ind w:left="0" w:firstLine="709"/>
        <w:jc w:val="both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это некоммерческие организации, созданные собственником (гражданином или юридическим лицом)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управленческих, социально-культурных или иных функций некоммерческого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ind w:left="0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не имеющие членства некоммерческие организации, созданные в целях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образования, здравоохранения, культуры, науки, права, физической культуры и спорта и иных сферах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ind w:left="0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 (союзы)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некоммерческие организации, основанные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членстве, созданные юридическими лицами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гражданами в целях представления и защиты общих, в том числе профессиональных, интересов, для достижения общественно полезных,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иных не противоречащих федеральным законам и имеющих некоммерческий характер целей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0"/>
        <w:numPr>
          <w:ilvl w:val="0"/>
          <w:numId w:val="1"/>
        </w:numPr>
        <w:ind w:left="0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общины коренных м</w:t>
      </w:r>
      <w:r>
        <w:rPr>
          <w:rFonts w:ascii="Times New Roman" w:hAnsi="Times New Roman" w:cs="Times New Roman"/>
          <w:sz w:val="28"/>
          <w:szCs w:val="28"/>
        </w:rPr>
        <w:t xml:space="preserve">алочисленных народов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</w:t>
      </w:r>
      <w:r>
        <w:rPr>
          <w:rFonts w:ascii="Times New Roman" w:hAnsi="Times New Roman" w:cs="Times New Roman"/>
          <w:sz w:val="28"/>
          <w:szCs w:val="28"/>
        </w:rPr>
        <w:t xml:space="preserve"> – формы самоорганизации лиц, относящихся к коренным малочисленным народам Российской Федерации и объединяемых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кровнородственному (семья, род) и (или) территориально-соседскому принципам, в целях защиты их исконной среды обитания, сохранения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развития традиционных образа жизни, хозяйственной деятельности, промыслов и культуры. Единый перечень коренных малочисленных народов Российской Федерации утвержден Постановлением Правительства Российской Федерации № 255 от 23 марта 2000 года;</w:t>
      </w:r>
      <w:r/>
    </w:p>
    <w:p>
      <w:pPr>
        <w:pStyle w:val="680"/>
        <w:numPr>
          <w:ilvl w:val="0"/>
          <w:numId w:val="1"/>
        </w:numPr>
        <w:ind w:left="0" w:firstLine="709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казачьи общества</w:t>
      </w:r>
      <w:r>
        <w:rPr>
          <w:rFonts w:ascii="Times New Roman" w:hAnsi="Times New Roman" w:cs="Times New Roman"/>
          <w:sz w:val="28"/>
          <w:szCs w:val="28"/>
        </w:rPr>
        <w:t xml:space="preserve"> – формы самоорганизации граждан Российской Федерации, объединившихся на основе общности </w:t>
      </w:r>
      <w:r>
        <w:rPr>
          <w:rFonts w:ascii="Times New Roman" w:hAnsi="Times New Roman" w:cs="Times New Roman"/>
          <w:sz w:val="28"/>
          <w:szCs w:val="28"/>
        </w:rPr>
        <w:t xml:space="preserve">интересов в целях возрождения российского казачества, защиты его прав, сохранения традиционных образа жизни, хозяйствования и культуры российского казачества. Казачьи общества создаются в виде хуторских, станичных, городских, районных (юртовых), окружных (</w:t>
      </w:r>
      <w:r>
        <w:rPr>
          <w:rFonts w:ascii="Times New Roman" w:hAnsi="Times New Roman" w:cs="Times New Roman"/>
          <w:sz w:val="28"/>
          <w:szCs w:val="28"/>
        </w:rPr>
        <w:t xml:space="preserve">отдельских</w:t>
      </w:r>
      <w:r>
        <w:rPr>
          <w:rFonts w:ascii="Times New Roman" w:hAnsi="Times New Roman" w:cs="Times New Roman"/>
          <w:sz w:val="28"/>
          <w:szCs w:val="28"/>
        </w:rPr>
        <w:t xml:space="preserve">) и войсковых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7"/>
      </w:pPr>
      <w:r>
        <w:rPr>
          <w:rStyle w:val="689"/>
        </w:rPr>
        <w:footnoteRef/>
      </w:r>
      <w:r>
        <w:t xml:space="preserve"> Н</w:t>
      </w:r>
      <w:r>
        <w:t xml:space="preserve">екоммерческое</w:t>
      </w:r>
      <w:r>
        <w:t xml:space="preserve"> партнерство как организационно-</w:t>
      </w:r>
      <w:r>
        <w:t xml:space="preserve">правовая форма НКО отсутствует в Гражданском кодексе Российской Федерации</w:t>
      </w:r>
      <w: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46583148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6"/>
    <w:next w:val="67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6"/>
    <w:next w:val="67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6"/>
    <w:next w:val="67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6"/>
    <w:next w:val="67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7"/>
    <w:link w:val="32"/>
    <w:uiPriority w:val="10"/>
    <w:rPr>
      <w:sz w:val="48"/>
      <w:szCs w:val="48"/>
    </w:rPr>
  </w:style>
  <w:style w:type="paragraph" w:styleId="34">
    <w:name w:val="Subtitle"/>
    <w:basedOn w:val="676"/>
    <w:next w:val="67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7"/>
    <w:link w:val="34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7"/>
    <w:link w:val="681"/>
    <w:uiPriority w:val="99"/>
  </w:style>
  <w:style w:type="character" w:styleId="43">
    <w:name w:val="Footer Char"/>
    <w:basedOn w:val="677"/>
    <w:link w:val="683"/>
    <w:uiPriority w:val="99"/>
  </w:style>
  <w:style w:type="paragraph" w:styleId="44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3"/>
    <w:uiPriority w:val="99"/>
  </w:style>
  <w:style w:type="table" w:styleId="46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687"/>
    <w:uiPriority w:val="99"/>
    <w:rPr>
      <w:sz w:val="18"/>
    </w:rPr>
  </w:style>
  <w:style w:type="paragraph" w:styleId="176">
    <w:name w:val="endnote text"/>
    <w:basedOn w:val="67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7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>
    <w:name w:val="List Paragraph"/>
    <w:basedOn w:val="676"/>
    <w:uiPriority w:val="34"/>
    <w:qFormat/>
    <w:pPr>
      <w:contextualSpacing/>
      <w:ind w:left="720"/>
    </w:pPr>
  </w:style>
  <w:style w:type="paragraph" w:styleId="681">
    <w:name w:val="Header"/>
    <w:basedOn w:val="676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7"/>
    <w:link w:val="681"/>
    <w:uiPriority w:val="99"/>
  </w:style>
  <w:style w:type="paragraph" w:styleId="683">
    <w:name w:val="Footer"/>
    <w:basedOn w:val="676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7"/>
    <w:link w:val="683"/>
    <w:uiPriority w:val="99"/>
  </w:style>
  <w:style w:type="paragraph" w:styleId="685">
    <w:name w:val="Balloon Text"/>
    <w:basedOn w:val="676"/>
    <w:link w:val="6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7"/>
    <w:link w:val="685"/>
    <w:uiPriority w:val="99"/>
    <w:semiHidden/>
    <w:rPr>
      <w:rFonts w:ascii="Segoe UI" w:hAnsi="Segoe UI" w:cs="Segoe UI"/>
      <w:sz w:val="18"/>
      <w:szCs w:val="18"/>
    </w:rPr>
  </w:style>
  <w:style w:type="paragraph" w:styleId="687">
    <w:name w:val="footnote text"/>
    <w:basedOn w:val="676"/>
    <w:link w:val="68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8" w:customStyle="1">
    <w:name w:val="Текст сноски Знак"/>
    <w:basedOn w:val="677"/>
    <w:link w:val="687"/>
    <w:uiPriority w:val="99"/>
    <w:semiHidden/>
    <w:rPr>
      <w:sz w:val="20"/>
      <w:szCs w:val="20"/>
    </w:rPr>
  </w:style>
  <w:style w:type="character" w:styleId="689">
    <w:name w:val="footnote reference"/>
    <w:basedOn w:val="67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E026ECC-20F6-4D33-B81A-DF65631D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Константиновна</dc:creator>
  <cp:revision>3</cp:revision>
  <dcterms:created xsi:type="dcterms:W3CDTF">2021-01-28T04:39:00Z</dcterms:created>
  <dcterms:modified xsi:type="dcterms:W3CDTF">2022-09-20T06:32:41Z</dcterms:modified>
</cp:coreProperties>
</file>