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176" w:type="dxa"/>
        <w:tblLook w:val="04A0" w:firstRow="1" w:lastRow="0" w:firstColumn="1" w:lastColumn="0" w:noHBand="0" w:noVBand="1"/>
      </w:tblPr>
      <w:tblGrid>
        <w:gridCol w:w="4253"/>
        <w:gridCol w:w="1984"/>
        <w:gridCol w:w="3970"/>
      </w:tblGrid>
      <w:tr>
        <w:tblPrEx/>
        <w:trPr>
          <w:trHeight w:val="851"/>
        </w:trPr>
        <w:tc>
          <w:tcPr>
            <w:tcW w:w="4253" w:type="dxa"/>
            <w:textDirection w:val="lrTb"/>
            <w:noWrap w:val="false"/>
          </w:tcPr>
          <w:p>
            <w:pPr>
              <w:tabs>
                <w:tab w:val="center" w:pos="2018" w:leader="none"/>
                <w:tab w:val="left" w:pos="3206" w:leader="none"/>
              </w:tabs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ind w:left="-108"/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01015" cy="707390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01015" cy="7073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9.45pt;height:55.70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39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2118"/>
        </w:trPr>
        <w:tc>
          <w:tcPr>
            <w:tcW w:w="4253" w:type="dxa"/>
            <w:textDirection w:val="lrTb"/>
            <w:noWrap w:val="false"/>
          </w:tcPr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ЧУВАШСКАЯ РЕСПУБЛИКА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ГЛАВА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АЛАТЫРСКОГО МУНИЦИПАЛЬНОГО ОКРУГА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ПОСТАНОВЛЕНИЕ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02</w:t>
            </w:r>
            <w:r>
              <w:rPr>
                <w:sz w:val="26"/>
                <w:szCs w:val="26"/>
              </w:rPr>
              <w:t xml:space="preserve">.06</w:t>
            </w:r>
            <w:r>
              <w:rPr>
                <w:sz w:val="26"/>
                <w:szCs w:val="26"/>
              </w:rPr>
              <w:t xml:space="preserve">.2026</w:t>
            </w:r>
            <w:r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7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Алатырь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pStyle w:val="717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</w:r>
            <w:r>
              <w:rPr>
                <w:b/>
                <w:bCs/>
                <w:color w:val="000000"/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</w:r>
            <w:r>
              <w:rPr>
                <w:b/>
                <w:bCs/>
                <w:color w:val="000000"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Cs/>
                <w:color w:val="ff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Cs/>
                <w:color w:val="ff0000"/>
                <w:sz w:val="26"/>
                <w:szCs w:val="26"/>
              </w:rPr>
            </w:r>
          </w:p>
        </w:tc>
        <w:tc>
          <w:tcPr>
            <w:tcW w:w="3970" w:type="dxa"/>
            <w:textDirection w:val="lrTb"/>
            <w:noWrap w:val="false"/>
          </w:tcPr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ЧĂВАШ Р</w:t>
            </w:r>
            <w:r>
              <w:rPr>
                <w:sz w:val="26"/>
                <w:szCs w:val="26"/>
              </w:rPr>
              <w:t xml:space="preserve">E</w:t>
            </w:r>
            <w:r>
              <w:rPr>
                <w:sz w:val="26"/>
                <w:szCs w:val="26"/>
              </w:rPr>
              <w:t xml:space="preserve">СПУБЛИКИ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УЛАТӐ</w:t>
            </w:r>
            <w:r>
              <w:rPr>
                <w:sz w:val="26"/>
                <w:szCs w:val="26"/>
              </w:rPr>
              <w:t xml:space="preserve">Р</w:t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МУНИЦИПАЛИТЕТ ОКРУГӖН </w:t>
            </w:r>
            <w:r>
              <w:rPr>
                <w:sz w:val="26"/>
                <w:szCs w:val="26"/>
              </w:rPr>
              <w:t xml:space="preserve">ПУҪЛ</w:t>
            </w:r>
            <w:r>
              <w:rPr>
                <w:sz w:val="26"/>
                <w:szCs w:val="26"/>
              </w:rPr>
              <w:t xml:space="preserve">ӐХӖ</w:t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ЙЫШĂНУ</w:t>
            </w:r>
            <w:r>
              <w:rPr>
                <w:b/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  <w:p>
            <w:pPr>
              <w:pStyle w:val="71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02.06.2026</w:t>
            </w:r>
            <w:r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7</w:t>
            </w:r>
            <w:bookmarkStart w:id="0" w:name="_GoBack"/>
            <w:r/>
            <w:bookmarkEnd w:id="0"/>
            <w:r/>
            <w:r>
              <w:rPr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Улатӑ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хули</w:t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</w:p>
        </w:tc>
      </w:tr>
    </w:tbl>
    <w:p>
      <w:pPr>
        <w:ind w:left="284" w:right="367"/>
        <w:tabs>
          <w:tab w:val="left" w:pos="567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284" w:right="367"/>
        <w:tabs>
          <w:tab w:val="left" w:pos="567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696"/>
        <w:jc w:val="center"/>
        <w:keepNext w:val="0"/>
        <w:spacing w:before="0" w:after="0"/>
        <w:rPr>
          <w:rFonts w:ascii="Times New Roman" w:hAnsi="Times New Roman" w:cs="Times New Roman"/>
          <w:sz w:val="26"/>
          <w:szCs w:val="26"/>
          <w:lang w:eastAsia="zh-CN" w:bidi="ar-SA"/>
        </w:rPr>
      </w:pPr>
      <w:r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О проведении публичных слушаний по вопросам предоставления </w:t>
      </w:r>
      <w:r>
        <w:rPr>
          <w:rFonts w:ascii="Times New Roman" w:hAnsi="Times New Roman" w:cs="Times New Roman"/>
          <w:sz w:val="26"/>
          <w:szCs w:val="26"/>
          <w:lang w:eastAsia="zh-CN" w:bidi="ar-SA"/>
        </w:rPr>
      </w:r>
    </w:p>
    <w:p>
      <w:pPr>
        <w:pStyle w:val="696"/>
        <w:jc w:val="center"/>
        <w:keepNext w:val="0"/>
        <w:spacing w:before="0" w:after="0"/>
        <w:rPr>
          <w:rFonts w:ascii="Times New Roman" w:hAnsi="Times New Roman" w:cs="Times New Roman"/>
          <w:sz w:val="26"/>
          <w:szCs w:val="26"/>
          <w:lang w:eastAsia="zh-CN" w:bidi="ar-SA"/>
        </w:rPr>
      </w:pPr>
      <w:r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разрешений на отклонение от предельных параметров разрешенного строительства</w:t>
      </w:r>
      <w:r>
        <w:rPr>
          <w:rFonts w:ascii="Times New Roman" w:hAnsi="Times New Roman" w:cs="Times New Roman"/>
          <w:sz w:val="26"/>
          <w:szCs w:val="26"/>
          <w:lang w:eastAsia="zh-CN" w:bidi="ar-SA"/>
        </w:rPr>
        <w:t xml:space="preserve">, реконструкции объектов капитального строительства </w:t>
      </w:r>
      <w:r>
        <w:rPr>
          <w:rFonts w:ascii="Times New Roman" w:hAnsi="Times New Roman" w:cs="Times New Roman"/>
          <w:sz w:val="26"/>
          <w:szCs w:val="26"/>
          <w:lang w:eastAsia="zh-CN" w:bidi="ar-SA"/>
        </w:rPr>
      </w:r>
    </w:p>
    <w:p>
      <w:pPr>
        <w:rPr>
          <w:rFonts w:ascii="Times New Roman" w:hAnsi="Times New Roman" w:cs="Times New Roman"/>
          <w:sz w:val="26"/>
          <w:szCs w:val="26"/>
          <w:lang w:eastAsia="zh-CN" w:bidi="ar-SA"/>
        </w:rPr>
      </w:pPr>
      <w:r>
        <w:rPr>
          <w:rFonts w:ascii="Times New Roman" w:hAnsi="Times New Roman" w:cs="Times New Roman"/>
          <w:sz w:val="26"/>
          <w:szCs w:val="26"/>
          <w:lang w:eastAsia="zh-CN" w:bidi="ar-SA"/>
        </w:rPr>
      </w:r>
      <w:r>
        <w:rPr>
          <w:rFonts w:ascii="Times New Roman" w:hAnsi="Times New Roman" w:cs="Times New Roman"/>
          <w:sz w:val="26"/>
          <w:szCs w:val="26"/>
          <w:lang w:eastAsia="zh-CN" w:bidi="ar-SA"/>
        </w:rPr>
      </w:r>
    </w:p>
    <w:p>
      <w:pPr>
        <w:rPr>
          <w:rFonts w:ascii="Times New Roman" w:hAnsi="Times New Roman" w:cs="Times New Roman"/>
          <w:sz w:val="26"/>
          <w:szCs w:val="26"/>
          <w:lang w:eastAsia="zh-CN" w:bidi="ar-SA"/>
        </w:rPr>
      </w:pPr>
      <w:r>
        <w:rPr>
          <w:rFonts w:ascii="Times New Roman" w:hAnsi="Times New Roman" w:cs="Times New Roman"/>
          <w:sz w:val="26"/>
          <w:szCs w:val="26"/>
          <w:lang w:eastAsia="zh-CN" w:bidi="ar-SA"/>
        </w:rPr>
      </w:r>
      <w:r>
        <w:rPr>
          <w:rFonts w:ascii="Times New Roman" w:hAnsi="Times New Roman" w:cs="Times New Roman"/>
          <w:sz w:val="26"/>
          <w:szCs w:val="26"/>
          <w:lang w:eastAsia="zh-CN" w:bidi="ar-SA"/>
        </w:rPr>
      </w:r>
    </w:p>
    <w:p>
      <w:pPr>
        <w:rPr>
          <w:rFonts w:ascii="Times New Roman" w:hAnsi="Times New Roman" w:cs="Times New Roman"/>
          <w:sz w:val="26"/>
          <w:szCs w:val="26"/>
          <w:lang w:eastAsia="zh-CN" w:bidi="ar-SA"/>
        </w:rPr>
      </w:pPr>
      <w:r>
        <w:rPr>
          <w:rFonts w:ascii="Times New Roman" w:hAnsi="Times New Roman" w:cs="Times New Roman"/>
          <w:sz w:val="26"/>
          <w:szCs w:val="26"/>
          <w:lang w:eastAsia="zh-CN" w:bidi="ar-SA"/>
        </w:rPr>
      </w:r>
      <w:r>
        <w:rPr>
          <w:rFonts w:ascii="Times New Roman" w:hAnsi="Times New Roman" w:cs="Times New Roman"/>
          <w:sz w:val="26"/>
          <w:szCs w:val="26"/>
          <w:lang w:eastAsia="zh-CN" w:bidi="ar-SA"/>
        </w:rPr>
      </w:r>
    </w:p>
    <w:p>
      <w:pPr>
        <w:pStyle w:val="882"/>
        <w:ind w:left="0" w:right="-108" w:firstLine="851"/>
        <w:jc w:val="both"/>
        <w:spacing w:after="0" w:line="240" w:lineRule="auto"/>
        <w:tabs>
          <w:tab w:val="left" w:pos="567" w:leader="none"/>
          <w:tab w:val="left" w:pos="9356" w:leader="none"/>
          <w:tab w:val="left" w:pos="9781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со ст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 40 Градостроительного кодекса Российской Федерации,</w:t>
      </w:r>
      <w:r>
        <w:rPr>
          <w:rFonts w:ascii="Times New Roman" w:hAnsi="Times New Roman" w:cs="Times New Roman"/>
          <w:sz w:val="26"/>
          <w:szCs w:val="26"/>
        </w:rPr>
        <w:t xml:space="preserve"> Федеральным законом от 06.10.2003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6"/>
          <w:szCs w:val="26"/>
        </w:rPr>
        <w:t xml:space="preserve">решением Собрания депутатов г. Алатыря Чувашской</w:t>
      </w:r>
      <w:r>
        <w:rPr>
          <w:rFonts w:ascii="Times New Roman" w:hAnsi="Times New Roman" w:cs="Times New Roman"/>
          <w:sz w:val="26"/>
          <w:szCs w:val="26"/>
        </w:rPr>
        <w:t xml:space="preserve"> Республики от 28.12.2016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№</w:t>
      </w:r>
      <w:r>
        <w:rPr>
          <w:rFonts w:ascii="Times New Roman" w:hAnsi="Times New Roman" w:cs="Times New Roman"/>
          <w:sz w:val="26"/>
          <w:szCs w:val="26"/>
        </w:rPr>
        <w:t xml:space="preserve"> 91/16-6 «Об утверждении Правил </w:t>
      </w:r>
      <w:r>
        <w:rPr>
          <w:rFonts w:ascii="Times New Roman" w:hAnsi="Times New Roman" w:cs="Times New Roman"/>
          <w:sz w:val="26"/>
          <w:szCs w:val="26"/>
        </w:rPr>
        <w:t xml:space="preserve">землепользования и застройки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</w:t>
      </w:r>
      <w:r>
        <w:rPr>
          <w:rFonts w:ascii="Times New Roman" w:hAnsi="Times New Roman" w:cs="Times New Roman"/>
          <w:sz w:val="26"/>
          <w:szCs w:val="26"/>
        </w:rPr>
        <w:t xml:space="preserve"> городского округа в новой редакции»</w:t>
      </w:r>
      <w:r>
        <w:rPr>
          <w:rFonts w:ascii="Times New Roman" w:hAnsi="Times New Roman" w:cs="Times New Roman"/>
          <w:sz w:val="26"/>
          <w:szCs w:val="26"/>
        </w:rPr>
        <w:t xml:space="preserve">, решением Собрания депутатов </w:t>
      </w:r>
      <w:r>
        <w:rPr>
          <w:rFonts w:ascii="Times New Roman" w:hAnsi="Times New Roman" w:cs="Times New Roman"/>
          <w:sz w:val="26"/>
          <w:szCs w:val="26"/>
        </w:rPr>
        <w:t xml:space="preserve">Алатырского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от 27.09.2024 № 1/17 «Об утверждении Положения о порядке организации и проведения публичных слушаний на территории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</w:rPr>
        <w:t xml:space="preserve">на основании заявлений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 xml:space="preserve">17.03.2026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 xml:space="preserve">3208</w:t>
      </w:r>
      <w:r>
        <w:rPr>
          <w:rFonts w:ascii="Times New Roman" w:hAnsi="Times New Roman" w:cs="Times New Roman"/>
          <w:sz w:val="26"/>
          <w:szCs w:val="26"/>
        </w:rPr>
        <w:t xml:space="preserve"> «О</w:t>
      </w:r>
      <w:r>
        <w:rPr>
          <w:rFonts w:ascii="Times New Roman" w:hAnsi="Times New Roman" w:cs="Times New Roman"/>
          <w:sz w:val="26"/>
          <w:szCs w:val="26"/>
        </w:rPr>
        <w:t xml:space="preserve"> предоставлении разрешений на отклонение от предельных параметров разрешенного строительства, реконструкции объектов капитального </w:t>
      </w:r>
      <w:r>
        <w:rPr>
          <w:rFonts w:ascii="Times New Roman" w:hAnsi="Times New Roman" w:cs="Times New Roman"/>
          <w:sz w:val="26"/>
          <w:szCs w:val="26"/>
        </w:rPr>
        <w:t xml:space="preserve">строительства</w:t>
      </w:r>
      <w:r>
        <w:rPr>
          <w:rFonts w:ascii="Times New Roman" w:hAnsi="Times New Roman" w:cs="Times New Roman"/>
          <w:sz w:val="26"/>
          <w:szCs w:val="26"/>
        </w:rPr>
        <w:t xml:space="preserve"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Салахутдинова</w:t>
      </w:r>
      <w:r>
        <w:rPr>
          <w:rFonts w:ascii="Times New Roman" w:hAnsi="Times New Roman" w:cs="Times New Roman"/>
          <w:sz w:val="26"/>
          <w:szCs w:val="26"/>
        </w:rPr>
        <w:t xml:space="preserve"> Станислава Валерьевича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от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27.</w:t>
      </w:r>
      <w:r>
        <w:rPr>
          <w:rFonts w:ascii="Times New Roman" w:hAnsi="Times New Roman" w:cs="Times New Roman"/>
          <w:sz w:val="26"/>
          <w:szCs w:val="26"/>
        </w:rPr>
        <w:t xml:space="preserve">05.2026 № 6956</w:t>
      </w:r>
      <w:r>
        <w:rPr>
          <w:rFonts w:ascii="Times New Roman" w:hAnsi="Times New Roman" w:cs="Times New Roman"/>
          <w:sz w:val="26"/>
          <w:szCs w:val="26"/>
        </w:rPr>
        <w:t xml:space="preserve"> «О предоставлении разрешений на отклонение от предельных параметров разрешенного строительства, реконструкции объектов капитального строительства»</w:t>
      </w:r>
      <w:r>
        <w:rPr>
          <w:rFonts w:ascii="Times New Roman" w:hAnsi="Times New Roman" w:cs="Times New Roman"/>
          <w:sz w:val="26"/>
          <w:szCs w:val="26"/>
        </w:rPr>
        <w:t xml:space="preserve"> Николаевой Елены Александровны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от 25.05.2026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 xml:space="preserve">6792 «О предоставлении разрешений на отклонение от предельных параметров разрешенного строительства, реконструкции объектов капитального строительства» </w:t>
      </w:r>
      <w:r>
        <w:rPr>
          <w:rFonts w:ascii="Times New Roman" w:hAnsi="Times New Roman" w:cs="Times New Roman"/>
          <w:sz w:val="26"/>
          <w:szCs w:val="26"/>
        </w:rPr>
        <w:t xml:space="preserve">Ефимовой Надежды Валентиновны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заявления на</w:t>
      </w:r>
      <w:r>
        <w:rPr>
          <w:rFonts w:ascii="Times New Roman" w:hAnsi="Times New Roman" w:cs="Times New Roman"/>
          <w:sz w:val="26"/>
          <w:szCs w:val="26"/>
        </w:rPr>
        <w:t xml:space="preserve"> утверждение схемы земельного участка с условно раз</w:t>
      </w:r>
      <w:r>
        <w:rPr>
          <w:rFonts w:ascii="Times New Roman" w:hAnsi="Times New Roman" w:cs="Times New Roman"/>
          <w:sz w:val="26"/>
          <w:szCs w:val="26"/>
        </w:rPr>
        <w:t xml:space="preserve">решенным видом использования Коновалова Владимира Алексеевича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2"/>
        <w:ind w:left="0" w:right="-108" w:firstLine="851"/>
        <w:jc w:val="center"/>
        <w:spacing w:after="0" w:line="240" w:lineRule="auto"/>
        <w:tabs>
          <w:tab w:val="left" w:pos="567" w:leader="none"/>
          <w:tab w:val="left" w:pos="9356" w:leader="none"/>
          <w:tab w:val="left" w:pos="9781" w:leader="none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постановляю: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82"/>
        <w:numPr>
          <w:ilvl w:val="0"/>
          <w:numId w:val="14"/>
        </w:numPr>
        <w:ind w:left="0" w:right="-108" w:firstLine="567"/>
        <w:jc w:val="both"/>
        <w:spacing w:after="0" w:line="240" w:lineRule="auto"/>
        <w:tabs>
          <w:tab w:val="left" w:pos="567" w:leader="none"/>
          <w:tab w:val="left" w:pos="851" w:leader="none"/>
          <w:tab w:val="left" w:pos="1134" w:leader="none"/>
          <w:tab w:val="left" w:pos="9356" w:leader="none"/>
          <w:tab w:val="left" w:pos="9781" w:leader="none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Провести публичные слушания </w:t>
      </w:r>
      <w:r>
        <w:rPr>
          <w:rFonts w:ascii="Times New Roman" w:hAnsi="Times New Roman" w:cs="Times New Roman"/>
          <w:sz w:val="26"/>
          <w:szCs w:val="26"/>
        </w:rPr>
        <w:t xml:space="preserve">25</w:t>
      </w:r>
      <w:r>
        <w:rPr>
          <w:rFonts w:ascii="Times New Roman" w:hAnsi="Times New Roman" w:cs="Times New Roman"/>
          <w:sz w:val="26"/>
          <w:szCs w:val="26"/>
        </w:rPr>
        <w:t xml:space="preserve">.06</w:t>
      </w:r>
      <w:r>
        <w:rPr>
          <w:rFonts w:ascii="Times New Roman" w:hAnsi="Times New Roman" w:cs="Times New Roman"/>
          <w:sz w:val="26"/>
          <w:szCs w:val="26"/>
        </w:rPr>
        <w:t xml:space="preserve">.2026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14</w:t>
      </w:r>
      <w:r>
        <w:rPr>
          <w:rFonts w:ascii="Times New Roman" w:hAnsi="Times New Roman" w:cs="Times New Roman"/>
          <w:sz w:val="26"/>
          <w:szCs w:val="26"/>
        </w:rPr>
        <w:t xml:space="preserve">.00 часов в большом зале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Алатырского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по адресу: г. Алатырь, ул. Первомайская, д. 87 по следующим вопросам: </w:t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pStyle w:val="888"/>
        <w:numPr>
          <w:ilvl w:val="1"/>
          <w:numId w:val="14"/>
        </w:numPr>
        <w:ind w:left="0" w:right="-108" w:firstLine="567"/>
        <w:jc w:val="both"/>
        <w:tabs>
          <w:tab w:val="left" w:pos="567" w:leader="none"/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предоставление разрешения</w:t>
      </w:r>
      <w:r>
        <w:rPr>
          <w:sz w:val="26"/>
          <w:szCs w:val="26"/>
        </w:rPr>
        <w:t xml:space="preserve"> на отклонение от предельных параметров разрешенного строительства, реконструкции объектов капитального строительства </w:t>
      </w:r>
      <w:r>
        <w:rPr>
          <w:sz w:val="26"/>
          <w:szCs w:val="26"/>
        </w:rPr>
        <w:t xml:space="preserve">на земельном участке</w:t>
      </w:r>
      <w:r>
        <w:rPr>
          <w:sz w:val="26"/>
          <w:szCs w:val="26"/>
        </w:rPr>
        <w:t xml:space="preserve"> с кад</w:t>
      </w:r>
      <w:r>
        <w:rPr>
          <w:sz w:val="26"/>
          <w:szCs w:val="26"/>
        </w:rPr>
        <w:t xml:space="preserve">астровым номером 21:03:010515:36 по улице</w:t>
      </w:r>
      <w:r>
        <w:rPr>
          <w:sz w:val="26"/>
          <w:szCs w:val="26"/>
        </w:rPr>
        <w:t xml:space="preserve"> Гончарова</w:t>
      </w:r>
      <w:r>
        <w:rPr>
          <w:sz w:val="26"/>
          <w:szCs w:val="26"/>
        </w:rPr>
        <w:t xml:space="preserve">,</w:t>
      </w:r>
      <w:r>
        <w:rPr>
          <w:sz w:val="26"/>
          <w:szCs w:val="26"/>
        </w:rPr>
        <w:t xml:space="preserve"> уменьшить с</w:t>
      </w:r>
      <w:r>
        <w:rPr>
          <w:sz w:val="26"/>
          <w:szCs w:val="26"/>
        </w:rPr>
        <w:t xml:space="preserve"> восточной стороны до </w:t>
      </w:r>
      <w:r>
        <w:rPr>
          <w:sz w:val="26"/>
          <w:szCs w:val="26"/>
        </w:rPr>
        <w:t xml:space="preserve">0,45</w:t>
      </w:r>
      <w:r>
        <w:rPr>
          <w:sz w:val="26"/>
          <w:szCs w:val="26"/>
        </w:rPr>
        <w:t xml:space="preserve"> метр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888"/>
        <w:numPr>
          <w:ilvl w:val="1"/>
          <w:numId w:val="14"/>
        </w:numPr>
        <w:ind w:left="0" w:right="-108" w:firstLine="567"/>
        <w:jc w:val="both"/>
        <w:tabs>
          <w:tab w:val="left" w:pos="567" w:leader="none"/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</w:t>
      </w:r>
      <w:r>
        <w:rPr>
          <w:sz w:val="26"/>
          <w:szCs w:val="26"/>
        </w:rPr>
        <w:t xml:space="preserve">на земельном участке</w:t>
      </w:r>
      <w:r>
        <w:rPr>
          <w:sz w:val="26"/>
          <w:szCs w:val="26"/>
        </w:rPr>
        <w:t xml:space="preserve"> с кадастровым номером 21:03:</w:t>
      </w:r>
      <w:r>
        <w:rPr>
          <w:sz w:val="26"/>
          <w:szCs w:val="26"/>
        </w:rPr>
        <w:t xml:space="preserve">010426:258</w:t>
      </w:r>
      <w:r>
        <w:rPr>
          <w:sz w:val="26"/>
          <w:szCs w:val="26"/>
        </w:rPr>
        <w:t xml:space="preserve"> по улице</w:t>
      </w:r>
      <w:r>
        <w:rPr>
          <w:sz w:val="26"/>
          <w:szCs w:val="26"/>
        </w:rPr>
        <w:t xml:space="preserve"> 40 лет Победы</w:t>
      </w:r>
      <w:r>
        <w:rPr>
          <w:sz w:val="26"/>
          <w:szCs w:val="26"/>
        </w:rPr>
        <w:t xml:space="preserve">, уменьшить с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северо-восточной стороны до 0</w:t>
      </w:r>
      <w:r>
        <w:rPr>
          <w:sz w:val="26"/>
          <w:szCs w:val="26"/>
        </w:rPr>
        <w:t xml:space="preserve"> метр</w:t>
      </w:r>
      <w:r>
        <w:rPr>
          <w:sz w:val="26"/>
          <w:szCs w:val="26"/>
        </w:rPr>
        <w:t xml:space="preserve">ов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888"/>
        <w:numPr>
          <w:ilvl w:val="1"/>
          <w:numId w:val="14"/>
        </w:numPr>
        <w:ind w:left="0" w:right="-108" w:firstLine="567"/>
        <w:jc w:val="both"/>
        <w:tabs>
          <w:tab w:val="left" w:pos="567" w:leader="none"/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предоставление разрешения на отклонение от предельных параметров разрешенного строительства, реконструкции объектов капитального строительства </w:t>
      </w:r>
      <w:r>
        <w:rPr>
          <w:sz w:val="26"/>
          <w:szCs w:val="26"/>
        </w:rPr>
        <w:t xml:space="preserve">на земельном участке</w:t>
      </w:r>
      <w:r>
        <w:rPr>
          <w:sz w:val="26"/>
          <w:szCs w:val="26"/>
        </w:rPr>
        <w:t xml:space="preserve"> с кадастровым номером 21:03:</w:t>
      </w:r>
      <w:r>
        <w:rPr>
          <w:sz w:val="26"/>
          <w:szCs w:val="26"/>
        </w:rPr>
        <w:t xml:space="preserve">010515:50</w:t>
      </w:r>
      <w:r>
        <w:rPr>
          <w:sz w:val="26"/>
          <w:szCs w:val="26"/>
        </w:rPr>
        <w:t xml:space="preserve"> по улице</w:t>
      </w:r>
      <w:r>
        <w:rPr>
          <w:sz w:val="26"/>
          <w:szCs w:val="26"/>
        </w:rPr>
        <w:t xml:space="preserve"> Ленина</w:t>
      </w:r>
      <w:r>
        <w:rPr>
          <w:sz w:val="26"/>
          <w:szCs w:val="26"/>
        </w:rPr>
        <w:t xml:space="preserve">, уменьшить с</w:t>
      </w:r>
      <w:r>
        <w:rPr>
          <w:sz w:val="26"/>
          <w:szCs w:val="26"/>
        </w:rPr>
        <w:t xml:space="preserve"> северной стороны до 1</w:t>
      </w:r>
      <w:r>
        <w:rPr>
          <w:sz w:val="26"/>
          <w:szCs w:val="26"/>
        </w:rPr>
        <w:t xml:space="preserve"> метр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;</w:t>
      </w:r>
      <w:r>
        <w:rPr>
          <w:sz w:val="26"/>
          <w:szCs w:val="26"/>
        </w:rPr>
      </w:r>
    </w:p>
    <w:p>
      <w:pPr>
        <w:pStyle w:val="888"/>
        <w:numPr>
          <w:ilvl w:val="1"/>
          <w:numId w:val="14"/>
        </w:numPr>
        <w:ind w:left="0" w:right="-108" w:firstLine="567"/>
        <w:jc w:val="both"/>
        <w:tabs>
          <w:tab w:val="left" w:pos="567" w:leader="none"/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 утверждение схемы земельного участка с условно разрешенным видом использования</w:t>
      </w:r>
      <w:r>
        <w:rPr>
          <w:sz w:val="26"/>
          <w:szCs w:val="26"/>
        </w:rPr>
        <w:t xml:space="preserve">.</w:t>
      </w:r>
      <w:r>
        <w:rPr>
          <w:sz w:val="26"/>
          <w:szCs w:val="26"/>
        </w:rPr>
      </w:r>
    </w:p>
    <w:p>
      <w:pPr>
        <w:pStyle w:val="888"/>
        <w:numPr>
          <w:ilvl w:val="0"/>
          <w:numId w:val="14"/>
        </w:numPr>
        <w:ind w:left="0" w:firstLine="567"/>
        <w:jc w:val="both"/>
        <w:tabs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rFonts w:eastAsia="Arial"/>
          <w:sz w:val="26"/>
          <w:szCs w:val="26"/>
          <w:lang w:bidi="ru-RU"/>
        </w:rPr>
        <w:t xml:space="preserve">Сектору информатизации и обращений граждан администрации </w:t>
      </w:r>
      <w:r>
        <w:rPr>
          <w:rFonts w:eastAsia="Arial"/>
          <w:sz w:val="26"/>
          <w:szCs w:val="26"/>
          <w:lang w:bidi="ru-RU"/>
        </w:rPr>
        <w:t xml:space="preserve">Алатырского</w:t>
      </w:r>
      <w:r>
        <w:rPr>
          <w:rFonts w:eastAsia="Arial"/>
          <w:sz w:val="26"/>
          <w:szCs w:val="26"/>
          <w:lang w:bidi="ru-RU"/>
        </w:rPr>
        <w:t xml:space="preserve"> муниципального округа опубликовать настоящее постановление на официальном сайте </w:t>
      </w:r>
      <w:r>
        <w:rPr>
          <w:rFonts w:eastAsia="Arial"/>
          <w:sz w:val="26"/>
          <w:szCs w:val="26"/>
          <w:lang w:bidi="ru-RU"/>
        </w:rPr>
        <w:t xml:space="preserve">Алатырского</w:t>
      </w:r>
      <w:r>
        <w:rPr>
          <w:rFonts w:eastAsia="Arial"/>
          <w:sz w:val="26"/>
          <w:szCs w:val="26"/>
          <w:lang w:bidi="ru-RU"/>
        </w:rPr>
        <w:t xml:space="preserve"> муниципального округа.</w:t>
      </w:r>
      <w:r>
        <w:rPr>
          <w:sz w:val="26"/>
          <w:szCs w:val="26"/>
        </w:rPr>
      </w:r>
    </w:p>
    <w:p>
      <w:pPr>
        <w:pStyle w:val="888"/>
        <w:numPr>
          <w:ilvl w:val="0"/>
          <w:numId w:val="14"/>
        </w:numPr>
        <w:ind w:left="0" w:firstLine="567"/>
        <w:jc w:val="both"/>
        <w:tabs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sz w:val="26"/>
          <w:szCs w:val="26"/>
        </w:rPr>
        <w:t xml:space="preserve">Предложения и замечания по вопросам, указанным </w:t>
      </w:r>
      <w:r>
        <w:rPr>
          <w:sz w:val="26"/>
          <w:szCs w:val="26"/>
        </w:rPr>
        <w:t xml:space="preserve">в настоящем постановлении</w:t>
      </w:r>
      <w:r>
        <w:rPr>
          <w:sz w:val="26"/>
          <w:szCs w:val="26"/>
        </w:rPr>
        <w:t xml:space="preserve">, в письменном виде направлять в </w:t>
      </w:r>
      <w:r>
        <w:rPr>
          <w:sz w:val="26"/>
          <w:szCs w:val="26"/>
        </w:rPr>
        <w:t xml:space="preserve">сектор по архитектуре отдела строительства, архитектуры и дорожного хозяйства Управлени</w:t>
      </w:r>
      <w:r>
        <w:rPr>
          <w:sz w:val="26"/>
          <w:szCs w:val="26"/>
        </w:rPr>
        <w:t xml:space="preserve">я</w:t>
      </w:r>
      <w:r>
        <w:rPr>
          <w:sz w:val="26"/>
          <w:szCs w:val="26"/>
        </w:rPr>
        <w:t xml:space="preserve"> по строительству, архитектуре, благоустройству территорий и жилищно-коммунальному хозяйству администрации </w:t>
      </w:r>
      <w:r>
        <w:rPr>
          <w:sz w:val="26"/>
          <w:szCs w:val="26"/>
        </w:rPr>
        <w:t xml:space="preserve">Алатырского</w:t>
      </w:r>
      <w:r>
        <w:rPr>
          <w:sz w:val="26"/>
          <w:szCs w:val="26"/>
        </w:rPr>
        <w:t xml:space="preserve"> муниципального округа </w:t>
      </w:r>
      <w:r>
        <w:rPr>
          <w:sz w:val="26"/>
          <w:szCs w:val="26"/>
        </w:rPr>
        <w:t xml:space="preserve">по адресу: Чувашская Республика, г. Алатырь, ул. Пер</w:t>
      </w:r>
      <w:r>
        <w:rPr>
          <w:sz w:val="26"/>
          <w:szCs w:val="26"/>
        </w:rPr>
        <w:t xml:space="preserve">вомайская, 87, кабинет 215 до </w:t>
      </w:r>
      <w:r>
        <w:rPr>
          <w:sz w:val="26"/>
          <w:szCs w:val="26"/>
        </w:rPr>
        <w:t xml:space="preserve">18.06</w:t>
      </w:r>
      <w:r>
        <w:rPr>
          <w:sz w:val="26"/>
          <w:szCs w:val="26"/>
        </w:rPr>
        <w:t xml:space="preserve">.2026</w:t>
      </w:r>
      <w:r>
        <w:rPr>
          <w:sz w:val="26"/>
          <w:szCs w:val="26"/>
        </w:rPr>
        <w:t xml:space="preserve"> года включительно, контактный телефон: 8(83531)2-03-39.</w:t>
      </w:r>
      <w:r>
        <w:rPr>
          <w:sz w:val="26"/>
          <w:szCs w:val="26"/>
        </w:rPr>
      </w:r>
    </w:p>
    <w:p>
      <w:pPr>
        <w:pStyle w:val="888"/>
        <w:numPr>
          <w:ilvl w:val="0"/>
          <w:numId w:val="14"/>
        </w:numPr>
        <w:ind w:left="0" w:firstLine="567"/>
        <w:jc w:val="both"/>
        <w:tabs>
          <w:tab w:val="left" w:pos="851" w:leader="none"/>
          <w:tab w:val="left" w:pos="1134" w:leader="none"/>
        </w:tabs>
        <w:rPr>
          <w:bCs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Контроль</w:t>
      </w:r>
      <w:r>
        <w:rPr>
          <w:bCs/>
          <w:color w:val="000000"/>
          <w:sz w:val="26"/>
          <w:szCs w:val="26"/>
        </w:rPr>
        <w:t xml:space="preserve"> за</w:t>
      </w:r>
      <w:r>
        <w:rPr>
          <w:bCs/>
          <w:color w:val="00000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- начальника Управления по строительству, архитектуре, благоустройству территорий и жилищно-коммунальному хозяйству администрации </w:t>
      </w:r>
      <w:r>
        <w:rPr>
          <w:bCs/>
          <w:color w:val="000000"/>
          <w:sz w:val="26"/>
          <w:szCs w:val="26"/>
        </w:rPr>
        <w:t xml:space="preserve">Алатырского</w:t>
      </w:r>
      <w:r>
        <w:rPr>
          <w:bCs/>
          <w:color w:val="000000"/>
          <w:sz w:val="26"/>
          <w:szCs w:val="26"/>
        </w:rPr>
        <w:t xml:space="preserve"> муниципального округа Чувашской Республики.</w:t>
      </w:r>
      <w:r>
        <w:rPr>
          <w:bCs/>
          <w:color w:val="000000"/>
          <w:sz w:val="26"/>
          <w:szCs w:val="26"/>
        </w:rPr>
      </w:r>
    </w:p>
    <w:p>
      <w:pPr>
        <w:pStyle w:val="888"/>
        <w:numPr>
          <w:ilvl w:val="0"/>
          <w:numId w:val="14"/>
        </w:numPr>
        <w:ind w:left="0" w:firstLine="567"/>
        <w:jc w:val="both"/>
        <w:tabs>
          <w:tab w:val="left" w:pos="851" w:leader="none"/>
          <w:tab w:val="left" w:pos="1134" w:leader="none"/>
        </w:tabs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Настоящее постановление вступает в силу после его официального опубликования.</w:t>
      </w:r>
      <w:r>
        <w:rPr>
          <w:sz w:val="26"/>
          <w:szCs w:val="26"/>
        </w:rPr>
      </w:r>
    </w:p>
    <w:p>
      <w:pPr>
        <w:pStyle w:val="698"/>
        <w:keepNext w:val="0"/>
        <w:widowControl w:val="off"/>
        <w:tabs>
          <w:tab w:val="left" w:pos="567" w:leader="none"/>
          <w:tab w:val="left" w:pos="9356" w:leader="none"/>
          <w:tab w:val="left" w:pos="9781" w:leader="none"/>
        </w:tabs>
        <w:rPr>
          <w:rFonts w:eastAsia="Arial"/>
          <w:bCs w:val="0"/>
          <w:sz w:val="26"/>
          <w:szCs w:val="26"/>
        </w:rPr>
      </w:pPr>
      <w:r>
        <w:rPr>
          <w:rFonts w:eastAsia="Arial"/>
          <w:bCs w:val="0"/>
          <w:sz w:val="26"/>
          <w:szCs w:val="26"/>
        </w:rPr>
      </w:r>
      <w:r>
        <w:rPr>
          <w:rFonts w:eastAsia="Arial"/>
          <w:bCs w:val="0"/>
          <w:sz w:val="26"/>
          <w:szCs w:val="26"/>
        </w:rPr>
      </w:r>
    </w:p>
    <w:p>
      <w:pPr>
        <w:pStyle w:val="698"/>
      </w:pPr>
      <w:r/>
      <w:r/>
    </w:p>
    <w:p>
      <w:pPr>
        <w:pStyle w:val="698"/>
      </w:pPr>
      <w:r/>
      <w:r/>
    </w:p>
    <w:p>
      <w:pPr>
        <w:pStyle w:val="698"/>
      </w:pPr>
      <w:r/>
      <w:r/>
    </w:p>
    <w:tbl>
      <w:tblPr>
        <w:tblStyle w:val="732"/>
        <w:tblW w:w="0" w:type="auto"/>
        <w:tblLook w:val="04A0" w:firstRow="1" w:lastRow="0" w:firstColumn="1" w:lastColumn="0" w:noHBand="0" w:noVBand="1"/>
      </w:tblPr>
      <w:tblGrid>
        <w:gridCol w:w="5210"/>
        <w:gridCol w:w="5211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w:t xml:space="preserve">Глава </w:t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w:t xml:space="preserve">Алатырского</w:t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r>
          </w:p>
          <w:p>
            <w:pP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w:t xml:space="preserve">муниципального округа</w:t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r>
          </w:p>
          <w:p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bidi="ar-S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  <w:t xml:space="preserve">Н.И. Шпилевая</w:t>
            </w:r>
            <w:r>
              <w:rPr>
                <w:rFonts w:ascii="Times New Roman" w:hAnsi="Times New Roman" w:cs="Times New Roman"/>
                <w:sz w:val="26"/>
                <w:szCs w:val="26"/>
                <w:lang w:bidi="ar-SA"/>
              </w:rPr>
            </w:r>
          </w:p>
        </w:tc>
      </w:tr>
    </w:tbl>
    <w:p>
      <w:pPr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</w:r>
      <w:r>
        <w:rPr>
          <w:rFonts w:ascii="Times New Roman" w:hAnsi="Times New Roman" w:cs="Times New Roman"/>
          <w:lang w:bidi="ar-SA"/>
        </w:rPr>
      </w:r>
    </w:p>
    <w:p>
      <w:pPr>
        <w:rPr>
          <w:rFonts w:ascii="Times New Roman" w:hAnsi="Times New Roman" w:cs="Times New Roman"/>
          <w:lang w:bidi="ar-SA"/>
        </w:rPr>
      </w:pPr>
      <w:r>
        <w:rPr>
          <w:rFonts w:ascii="Times New Roman" w:hAnsi="Times New Roman" w:cs="Times New Roman"/>
          <w:lang w:bidi="ar-SA"/>
        </w:rPr>
      </w:r>
      <w:r>
        <w:rPr>
          <w:rFonts w:ascii="Times New Roman" w:hAnsi="Times New Roman" w:cs="Times New Roman"/>
          <w:lang w:bidi="ar-SA"/>
        </w:rPr>
      </w:r>
    </w:p>
    <w:p>
      <w:pPr>
        <w:jc w:val="both"/>
        <w:tabs>
          <w:tab w:val="left" w:pos="567" w:leader="none"/>
          <w:tab w:val="left" w:pos="9356" w:leader="none"/>
          <w:tab w:val="left" w:pos="9781" w:leader="none"/>
        </w:tabs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bidi="ar-SA"/>
        </w:rPr>
        <w:t xml:space="preserve">                                                                                 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bidi="ar-SA"/>
        </w:rPr>
        <w:t xml:space="preserve">     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bidi="ar-SA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00" w:orient="portrait"/>
      <w:pgMar w:top="567" w:right="567" w:bottom="567" w:left="1134" w:header="426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ahoma">
    <w:panose1 w:val="020B0604030504040204"/>
  </w:font>
  <w:font w:name="TimesET">
    <w:panose1 w:val="020B0203030804020204"/>
  </w:font>
  <w:font w:name="Courier New">
    <w:panose1 w:val="02070309020205020404"/>
  </w:font>
  <w:font w:name="Mangal">
    <w:panose1 w:val="02040503050406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6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fldChar w:fldCharType="begin"/>
    </w:r>
    <w:r>
      <w:rPr>
        <w:rFonts w:ascii="Times New Roman" w:hAnsi="Times New Roman" w:cs="Times New Roman"/>
        <w:sz w:val="22"/>
        <w:szCs w:val="22"/>
      </w:rPr>
      <w:instrText xml:space="preserve">PAGE   \* MERGEFORMAT</w:instrText>
    </w:r>
    <w:r>
      <w:rPr>
        <w:rFonts w:ascii="Times New Roman" w:hAnsi="Times New Roman" w:cs="Times New Roman"/>
        <w:sz w:val="22"/>
        <w:szCs w:val="22"/>
      </w:rPr>
      <w:fldChar w:fldCharType="separate"/>
    </w:r>
    <w:r>
      <w:rPr>
        <w:rFonts w:ascii="Times New Roman" w:hAnsi="Times New Roman" w:cs="Times New Roman"/>
        <w:sz w:val="22"/>
        <w:szCs w:val="22"/>
      </w:rPr>
      <w:t xml:space="preserve">2</w:t>
    </w:r>
    <w:r>
      <w:rPr>
        <w:rFonts w:ascii="Times New Roman" w:hAnsi="Times New Roman" w:cs="Times New Roman"/>
        <w:sz w:val="22"/>
        <w:szCs w:val="22"/>
      </w:rPr>
      <w:fldChar w:fldCharType="end"/>
    </w:r>
    <w:r>
      <w:rPr>
        <w:rFonts w:ascii="Times New Roman" w:hAnsi="Times New Roman" w:cs="Times New Roman"/>
        <w:sz w:val="22"/>
        <w:szCs w:val="2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953" w:hanging="960"/>
      </w:pPr>
      <w:rPr>
        <w:rFonts w:hint="default"/>
        <w:b w:val="0"/>
      </w:rPr>
    </w:lvl>
    <w:lvl w:ilvl="1">
      <w:start w:val="1"/>
      <w:numFmt w:val="decimal"/>
      <w:isLgl w:val="false"/>
      <w:suff w:val="tab"/>
      <w:lvlText w:val="%2)"/>
      <w:lvlJc w:val="left"/>
      <w:pPr>
        <w:ind w:left="2883" w:hanging="117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1">
    <w:multiLevelType w:val="hybridMultilevel"/>
    <w:lvl w:ilvl="0">
      <w:start w:val="2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 w:val="0"/>
        <w:color w:val="000000"/>
      </w:rPr>
    </w:lvl>
    <w:lvl w:ilvl="1">
      <w:start w:val="2"/>
      <w:numFmt w:val="decimal"/>
      <w:isLgl w:val="false"/>
      <w:suff w:val="tab"/>
      <w:lvlText w:val="%1.%2."/>
      <w:lvlJc w:val="left"/>
      <w:pPr>
        <w:ind w:left="1495" w:hanging="360"/>
        <w:tabs>
          <w:tab w:val="num" w:pos="1495" w:leader="none"/>
        </w:tabs>
      </w:pPr>
      <w:rPr>
        <w:b w:val="0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b w:val="0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b w:val="0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b w:val="0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b w:val="0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b w:val="0"/>
        <w:color w:val="000000"/>
      </w:rPr>
    </w:lvl>
  </w:abstractNum>
  <w:abstractNum w:abstractNumId="2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  <w:tabs>
          <w:tab w:val="num" w:pos="1069" w:leader="none"/>
        </w:tabs>
      </w:pPr>
      <w:rPr>
        <w:rFonts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30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60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4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60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320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040" w:hanging="2160"/>
      </w:pPr>
      <w:rPr>
        <w:rFonts w:cs="Times New Roman"/>
      </w:rPr>
    </w:lvl>
  </w:abstractNum>
  <w:abstractNum w:abstractNumId="7">
    <w:multiLevelType w:val="hybridMultilevel"/>
    <w:lvl w:ilvl="0">
      <w:start w:val="24"/>
      <w:numFmt w:val="decimal"/>
      <w:isLgl w:val="false"/>
      <w:suff w:val="tab"/>
      <w:lvlText w:val="%1."/>
      <w:lvlJc w:val="left"/>
      <w:pPr>
        <w:ind w:left="480" w:hanging="480"/>
        <w:tabs>
          <w:tab w:val="num" w:pos="480" w:leader="none"/>
        </w:tabs>
      </w:pPr>
      <w:rPr>
        <w:b w:val="0"/>
      </w:rPr>
    </w:lvl>
    <w:lvl w:ilvl="1">
      <w:start w:val="2"/>
      <w:numFmt w:val="decimal"/>
      <w:isLgl w:val="false"/>
      <w:suff w:val="tab"/>
      <w:lvlText w:val="%1.%2."/>
      <w:lvlJc w:val="left"/>
      <w:pPr>
        <w:ind w:left="1200" w:hanging="480"/>
        <w:tabs>
          <w:tab w:val="num" w:pos="1200" w:leader="none"/>
        </w:tabs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2160" w:leader="none"/>
        </w:tabs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80" w:hanging="720"/>
        <w:tabs>
          <w:tab w:val="num" w:pos="2880" w:leader="none"/>
        </w:tabs>
      </w:pPr>
      <w:rPr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3960" w:leader="none"/>
        </w:tabs>
      </w:pPr>
      <w:rPr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080"/>
        <w:tabs>
          <w:tab w:val="num" w:pos="4680" w:leader="none"/>
        </w:tabs>
      </w:pPr>
      <w:rPr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760" w:hanging="1440"/>
        <w:tabs>
          <w:tab w:val="num" w:pos="5760" w:leader="none"/>
        </w:tabs>
      </w:pPr>
      <w:rPr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480" w:hanging="1440"/>
        <w:tabs>
          <w:tab w:val="num" w:pos="6480" w:leader="none"/>
        </w:tabs>
      </w:pPr>
      <w:rPr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560" w:hanging="1800"/>
        <w:tabs>
          <w:tab w:val="num" w:pos="7560" w:leader="none"/>
        </w:tabs>
      </w:pPr>
      <w:rPr>
        <w:b w:val="0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  <w:tabs>
          <w:tab w:val="num" w:pos="1211" w:leader="none"/>
        </w:tabs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  <w:tabs>
          <w:tab w:val="num" w:pos="1931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  <w:tabs>
          <w:tab w:val="num" w:pos="2651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  <w:tabs>
          <w:tab w:val="num" w:pos="3371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  <w:tabs>
          <w:tab w:val="num" w:pos="4091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  <w:tabs>
          <w:tab w:val="num" w:pos="4811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  <w:tabs>
          <w:tab w:val="num" w:pos="5531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  <w:tabs>
          <w:tab w:val="num" w:pos="6251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  <w:tabs>
          <w:tab w:val="num" w:pos="6971" w:leader="none"/>
        </w:tabs>
      </w:pPr>
      <w:rPr>
        <w:rFonts w:cs="Times New Roman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1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3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15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87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59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1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3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75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473" w:hanging="180"/>
      </w:pPr>
    </w:lvl>
  </w:abstractNum>
  <w:abstractNum w:abstractNumId="10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494" w:hanging="360"/>
        <w:tabs>
          <w:tab w:val="num" w:pos="149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214" w:hanging="360"/>
        <w:tabs>
          <w:tab w:val="num" w:pos="221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934" w:hanging="180"/>
        <w:tabs>
          <w:tab w:val="num" w:pos="293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654" w:hanging="360"/>
        <w:tabs>
          <w:tab w:val="num" w:pos="365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374" w:hanging="360"/>
        <w:tabs>
          <w:tab w:val="num" w:pos="437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094" w:hanging="180"/>
        <w:tabs>
          <w:tab w:val="num" w:pos="509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814" w:hanging="360"/>
        <w:tabs>
          <w:tab w:val="num" w:pos="581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534" w:hanging="360"/>
        <w:tabs>
          <w:tab w:val="num" w:pos="653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254" w:hanging="180"/>
        <w:tabs>
          <w:tab w:val="num" w:pos="7254" w:leader="none"/>
        </w:tabs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  <w:tabs>
          <w:tab w:val="num" w:pos="927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  <w:tabs>
          <w:tab w:val="num" w:pos="1647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  <w:tabs>
          <w:tab w:val="num" w:pos="2367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  <w:tabs>
          <w:tab w:val="num" w:pos="3087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  <w:tabs>
          <w:tab w:val="num" w:pos="3807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  <w:tabs>
          <w:tab w:val="num" w:pos="4527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  <w:tabs>
          <w:tab w:val="num" w:pos="5247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  <w:tabs>
          <w:tab w:val="num" w:pos="5967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  <w:tabs>
          <w:tab w:val="num" w:pos="6687" w:leader="none"/>
        </w:tabs>
      </w:pPr>
    </w:lvl>
  </w:abstractNum>
  <w:abstractNum w:abstractNumId="13">
    <w:multiLevelType w:val="hybridMultilevel"/>
    <w:lvl w:ilvl="0">
      <w:start w:val="24"/>
      <w:numFmt w:val="decimal"/>
      <w:isLgl w:val="false"/>
      <w:suff w:val="tab"/>
      <w:lvlText w:val="%1."/>
      <w:lvlJc w:val="left"/>
      <w:pPr>
        <w:ind w:left="480" w:hanging="480"/>
        <w:tabs>
          <w:tab w:val="num" w:pos="480" w:leader="none"/>
        </w:tabs>
      </w:pPr>
      <w:rPr>
        <w:b w:val="0"/>
        <w:color w:val="000000"/>
      </w:rPr>
    </w:lvl>
    <w:lvl w:ilvl="1">
      <w:start w:val="2"/>
      <w:numFmt w:val="decimal"/>
      <w:isLgl w:val="false"/>
      <w:suff w:val="tab"/>
      <w:lvlText w:val="%1.%2."/>
      <w:lvlJc w:val="left"/>
      <w:pPr>
        <w:ind w:left="1615" w:hanging="480"/>
        <w:tabs>
          <w:tab w:val="num" w:pos="1615" w:leader="none"/>
        </w:tabs>
      </w:pPr>
      <w:rPr>
        <w:b w:val="0"/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990" w:hanging="720"/>
        <w:tabs>
          <w:tab w:val="num" w:pos="2990" w:leader="none"/>
        </w:tabs>
      </w:pPr>
      <w:rPr>
        <w:b w:val="0"/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125" w:hanging="720"/>
        <w:tabs>
          <w:tab w:val="num" w:pos="4125" w:leader="none"/>
        </w:tabs>
      </w:pPr>
      <w:rPr>
        <w:b w:val="0"/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620" w:hanging="1080"/>
        <w:tabs>
          <w:tab w:val="num" w:pos="5620" w:leader="none"/>
        </w:tabs>
      </w:pPr>
      <w:rPr>
        <w:b w:val="0"/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755" w:hanging="1080"/>
        <w:tabs>
          <w:tab w:val="num" w:pos="6755" w:leader="none"/>
        </w:tabs>
      </w:pPr>
      <w:rPr>
        <w:b w:val="0"/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50" w:hanging="1440"/>
        <w:tabs>
          <w:tab w:val="num" w:pos="8250" w:leader="none"/>
        </w:tabs>
      </w:pPr>
      <w:rPr>
        <w:b w:val="0"/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385" w:hanging="1440"/>
        <w:tabs>
          <w:tab w:val="num" w:pos="9385" w:leader="none"/>
        </w:tabs>
      </w:pPr>
      <w:rPr>
        <w:b w:val="0"/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880" w:hanging="1800"/>
        <w:tabs>
          <w:tab w:val="num" w:pos="10880" w:leader="none"/>
        </w:tabs>
      </w:pPr>
      <w:rPr>
        <w:b w:val="0"/>
        <w:color w:val="000000"/>
      </w:rPr>
    </w:lvl>
  </w:abstractNum>
  <w:num w:numId="1">
    <w:abstractNumId w:val="1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</w:num>
  <w:num w:numId="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4bf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6">
    <w:name w:val="Heading 2 Char"/>
    <w:basedOn w:val="705"/>
    <w:link w:val="697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705"/>
    <w:link w:val="698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705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05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05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05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705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70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705"/>
    <w:link w:val="718"/>
    <w:uiPriority w:val="10"/>
    <w:rPr>
      <w:sz w:val="48"/>
      <w:szCs w:val="48"/>
    </w:rPr>
  </w:style>
  <w:style w:type="character" w:styleId="37">
    <w:name w:val="Subtitle Char"/>
    <w:basedOn w:val="705"/>
    <w:link w:val="720"/>
    <w:uiPriority w:val="11"/>
    <w:rPr>
      <w:sz w:val="24"/>
      <w:szCs w:val="24"/>
    </w:rPr>
  </w:style>
  <w:style w:type="character" w:styleId="39">
    <w:name w:val="Quote Char"/>
    <w:link w:val="722"/>
    <w:uiPriority w:val="29"/>
    <w:rPr>
      <w:i/>
    </w:rPr>
  </w:style>
  <w:style w:type="character" w:styleId="41">
    <w:name w:val="Intense Quote Char"/>
    <w:link w:val="724"/>
    <w:uiPriority w:val="30"/>
    <w:rPr>
      <w:i/>
    </w:rPr>
  </w:style>
  <w:style w:type="character" w:styleId="43">
    <w:name w:val="Header Char"/>
    <w:basedOn w:val="705"/>
    <w:link w:val="726"/>
    <w:uiPriority w:val="99"/>
  </w:style>
  <w:style w:type="character" w:styleId="47">
    <w:name w:val="Caption Char"/>
    <w:basedOn w:val="705"/>
    <w:link w:val="730"/>
    <w:uiPriority w:val="35"/>
    <w:rPr>
      <w:b/>
      <w:bCs/>
      <w:color w:val="4f81bd" w:themeColor="accent1"/>
      <w:sz w:val="18"/>
      <w:szCs w:val="18"/>
    </w:rPr>
  </w:style>
  <w:style w:type="table" w:styleId="50">
    <w:name w:val="Plain Table 1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0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0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70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176">
    <w:name w:val="Footnote Text Char"/>
    <w:link w:val="859"/>
    <w:uiPriority w:val="99"/>
    <w:rPr>
      <w:sz w:val="18"/>
    </w:rPr>
  </w:style>
  <w:style w:type="character" w:styleId="179">
    <w:name w:val="Endnote Text Char"/>
    <w:link w:val="862"/>
    <w:uiPriority w:val="99"/>
    <w:rPr>
      <w:sz w:val="20"/>
    </w:rPr>
  </w:style>
  <w:style w:type="paragraph" w:styleId="695" w:default="1">
    <w:name w:val="Normal"/>
    <w:qFormat/>
    <w:pPr>
      <w:widowControl w:val="off"/>
    </w:pPr>
    <w:rPr>
      <w:rFonts w:ascii="Arial" w:hAnsi="Arial" w:eastAsia="Arial" w:cs="Arial"/>
      <w:sz w:val="24"/>
      <w:szCs w:val="24"/>
      <w:lang w:bidi="ru-RU"/>
    </w:rPr>
  </w:style>
  <w:style w:type="paragraph" w:styleId="696">
    <w:name w:val="Heading 1"/>
    <w:basedOn w:val="695"/>
    <w:next w:val="695"/>
    <w:link w:val="887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697">
    <w:name w:val="Heading 2"/>
    <w:basedOn w:val="695"/>
    <w:next w:val="695"/>
    <w:link w:val="709"/>
    <w:uiPriority w:val="9"/>
    <w:unhideWhenUsed/>
    <w:qFormat/>
    <w:pPr>
      <w:keepLines/>
      <w:keepNext/>
      <w:spacing w:before="360" w:after="200"/>
      <w:outlineLvl w:val="1"/>
    </w:pPr>
    <w:rPr>
      <w:sz w:val="34"/>
    </w:rPr>
  </w:style>
  <w:style w:type="paragraph" w:styleId="698">
    <w:name w:val="Heading 3"/>
    <w:basedOn w:val="695"/>
    <w:next w:val="695"/>
    <w:link w:val="710"/>
    <w:qFormat/>
    <w:pPr>
      <w:jc w:val="both"/>
      <w:keepNext/>
      <w:widowControl/>
      <w:outlineLvl w:val="2"/>
    </w:pPr>
    <w:rPr>
      <w:rFonts w:ascii="Times New Roman" w:hAnsi="Times New Roman" w:eastAsia="Times New Roman" w:cs="Times New Roman"/>
      <w:bCs/>
      <w:sz w:val="28"/>
      <w:szCs w:val="20"/>
      <w:lang w:bidi="ar-SA"/>
    </w:rPr>
  </w:style>
  <w:style w:type="paragraph" w:styleId="699">
    <w:name w:val="Heading 4"/>
    <w:basedOn w:val="695"/>
    <w:next w:val="695"/>
    <w:link w:val="711"/>
    <w:uiPriority w:val="9"/>
    <w:unhideWhenUsed/>
    <w:qFormat/>
    <w:pPr>
      <w:keepLines/>
      <w:keepNext/>
      <w:spacing w:before="320" w:after="200"/>
      <w:outlineLvl w:val="3"/>
    </w:pPr>
    <w:rPr>
      <w:b/>
      <w:bCs/>
      <w:sz w:val="26"/>
      <w:szCs w:val="26"/>
    </w:rPr>
  </w:style>
  <w:style w:type="paragraph" w:styleId="700">
    <w:name w:val="Heading 5"/>
    <w:basedOn w:val="695"/>
    <w:next w:val="695"/>
    <w:link w:val="712"/>
    <w:uiPriority w:val="9"/>
    <w:unhideWhenUsed/>
    <w:qFormat/>
    <w:pPr>
      <w:keepLines/>
      <w:keepNext/>
      <w:spacing w:before="320" w:after="200"/>
      <w:outlineLvl w:val="4"/>
    </w:pPr>
    <w:rPr>
      <w:b/>
      <w:bCs/>
    </w:rPr>
  </w:style>
  <w:style w:type="paragraph" w:styleId="701">
    <w:name w:val="Heading 6"/>
    <w:basedOn w:val="695"/>
    <w:next w:val="695"/>
    <w:link w:val="713"/>
    <w:uiPriority w:val="9"/>
    <w:unhideWhenUsed/>
    <w:qFormat/>
    <w:pPr>
      <w:keepLines/>
      <w:keepNext/>
      <w:spacing w:before="320" w:after="200"/>
      <w:outlineLvl w:val="5"/>
    </w:pPr>
    <w:rPr>
      <w:b/>
      <w:bCs/>
      <w:sz w:val="22"/>
      <w:szCs w:val="22"/>
    </w:rPr>
  </w:style>
  <w:style w:type="paragraph" w:styleId="702">
    <w:name w:val="Heading 7"/>
    <w:basedOn w:val="695"/>
    <w:next w:val="695"/>
    <w:link w:val="714"/>
    <w:uiPriority w:val="9"/>
    <w:unhideWhenUsed/>
    <w:qFormat/>
    <w:pPr>
      <w:keepLines/>
      <w:keepNext/>
      <w:spacing w:before="320" w:after="200"/>
      <w:outlineLvl w:val="6"/>
    </w:pPr>
    <w:rPr>
      <w:b/>
      <w:bCs/>
      <w:i/>
      <w:iCs/>
      <w:sz w:val="22"/>
      <w:szCs w:val="22"/>
    </w:rPr>
  </w:style>
  <w:style w:type="paragraph" w:styleId="703">
    <w:name w:val="Heading 8"/>
    <w:basedOn w:val="695"/>
    <w:next w:val="695"/>
    <w:link w:val="715"/>
    <w:uiPriority w:val="9"/>
    <w:unhideWhenUsed/>
    <w:qFormat/>
    <w:pPr>
      <w:keepLines/>
      <w:keepNext/>
      <w:spacing w:before="320" w:after="200"/>
      <w:outlineLvl w:val="7"/>
    </w:pPr>
    <w:rPr>
      <w:i/>
      <w:iCs/>
      <w:sz w:val="22"/>
      <w:szCs w:val="22"/>
    </w:rPr>
  </w:style>
  <w:style w:type="paragraph" w:styleId="704">
    <w:name w:val="Heading 9"/>
    <w:basedOn w:val="695"/>
    <w:next w:val="695"/>
    <w:link w:val="716"/>
    <w:uiPriority w:val="9"/>
    <w:unhideWhenUsed/>
    <w:qFormat/>
    <w:pPr>
      <w:keepLines/>
      <w:keepNext/>
      <w:spacing w:before="320" w:after="200"/>
      <w:outlineLvl w:val="8"/>
    </w:pPr>
    <w:rPr>
      <w:i/>
      <w:iCs/>
      <w:sz w:val="21"/>
      <w:szCs w:val="21"/>
    </w:rPr>
  </w:style>
  <w:style w:type="character" w:styleId="705" w:default="1">
    <w:name w:val="Default Paragraph Font"/>
    <w:uiPriority w:val="1"/>
    <w:semiHidden/>
    <w:unhideWhenUsed/>
  </w:style>
  <w:style w:type="table" w:styleId="70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7" w:default="1">
    <w:name w:val="No List"/>
    <w:uiPriority w:val="99"/>
    <w:semiHidden/>
    <w:unhideWhenUsed/>
  </w:style>
  <w:style w:type="character" w:styleId="708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09" w:customStyle="1">
    <w:name w:val="Заголовок 2 Знак"/>
    <w:link w:val="697"/>
    <w:uiPriority w:val="9"/>
    <w:rPr>
      <w:rFonts w:ascii="Arial" w:hAnsi="Arial" w:eastAsia="Arial" w:cs="Arial"/>
      <w:sz w:val="34"/>
    </w:rPr>
  </w:style>
  <w:style w:type="character" w:styleId="710" w:customStyle="1">
    <w:name w:val="Заголовок 3 Знак"/>
    <w:link w:val="698"/>
    <w:uiPriority w:val="9"/>
    <w:rPr>
      <w:rFonts w:ascii="Arial" w:hAnsi="Arial" w:eastAsia="Arial" w:cs="Arial"/>
      <w:sz w:val="30"/>
      <w:szCs w:val="30"/>
    </w:rPr>
  </w:style>
  <w:style w:type="character" w:styleId="711" w:customStyle="1">
    <w:name w:val="Заголовок 4 Знак"/>
    <w:link w:val="699"/>
    <w:uiPriority w:val="9"/>
    <w:rPr>
      <w:rFonts w:ascii="Arial" w:hAnsi="Arial" w:eastAsia="Arial" w:cs="Arial"/>
      <w:b/>
      <w:bCs/>
      <w:sz w:val="26"/>
      <w:szCs w:val="26"/>
    </w:rPr>
  </w:style>
  <w:style w:type="character" w:styleId="712" w:customStyle="1">
    <w:name w:val="Заголовок 5 Знак"/>
    <w:link w:val="700"/>
    <w:uiPriority w:val="9"/>
    <w:rPr>
      <w:rFonts w:ascii="Arial" w:hAnsi="Arial" w:eastAsia="Arial" w:cs="Arial"/>
      <w:b/>
      <w:bCs/>
      <w:sz w:val="24"/>
      <w:szCs w:val="24"/>
    </w:rPr>
  </w:style>
  <w:style w:type="character" w:styleId="713" w:customStyle="1">
    <w:name w:val="Заголовок 6 Знак"/>
    <w:link w:val="701"/>
    <w:uiPriority w:val="9"/>
    <w:rPr>
      <w:rFonts w:ascii="Arial" w:hAnsi="Arial" w:eastAsia="Arial" w:cs="Arial"/>
      <w:b/>
      <w:bCs/>
      <w:sz w:val="22"/>
      <w:szCs w:val="22"/>
    </w:rPr>
  </w:style>
  <w:style w:type="character" w:styleId="714" w:customStyle="1">
    <w:name w:val="Заголовок 7 Знак"/>
    <w:link w:val="70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5" w:customStyle="1">
    <w:name w:val="Заголовок 8 Знак"/>
    <w:link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6" w:customStyle="1">
    <w:name w:val="Заголовок 9 Знак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No Spacing"/>
    <w:uiPriority w:val="99"/>
    <w:qFormat/>
    <w:rPr>
      <w:lang w:eastAsia="zh-CN"/>
    </w:rPr>
  </w:style>
  <w:style w:type="paragraph" w:styleId="718">
    <w:name w:val="Title"/>
    <w:basedOn w:val="695"/>
    <w:next w:val="876"/>
    <w:link w:val="719"/>
    <w:pPr>
      <w:keepNext/>
      <w:spacing w:before="240" w:after="120"/>
    </w:pPr>
    <w:rPr>
      <w:rFonts w:eastAsia="Arial Unicode MS" w:cs="Mangal"/>
      <w:sz w:val="28"/>
      <w:szCs w:val="28"/>
    </w:rPr>
  </w:style>
  <w:style w:type="character" w:styleId="719" w:customStyle="1">
    <w:name w:val="Название Знак"/>
    <w:link w:val="718"/>
    <w:uiPriority w:val="10"/>
    <w:rPr>
      <w:sz w:val="48"/>
      <w:szCs w:val="48"/>
    </w:rPr>
  </w:style>
  <w:style w:type="paragraph" w:styleId="720">
    <w:name w:val="Subtitle"/>
    <w:basedOn w:val="695"/>
    <w:next w:val="695"/>
    <w:link w:val="721"/>
    <w:uiPriority w:val="11"/>
    <w:qFormat/>
    <w:pPr>
      <w:spacing w:before="200" w:after="200"/>
    </w:pPr>
  </w:style>
  <w:style w:type="character" w:styleId="721" w:customStyle="1">
    <w:name w:val="Подзаголовок Знак"/>
    <w:link w:val="720"/>
    <w:uiPriority w:val="11"/>
    <w:rPr>
      <w:sz w:val="24"/>
      <w:szCs w:val="24"/>
    </w:rPr>
  </w:style>
  <w:style w:type="paragraph" w:styleId="722">
    <w:name w:val="Quote"/>
    <w:basedOn w:val="695"/>
    <w:next w:val="695"/>
    <w:link w:val="723"/>
    <w:uiPriority w:val="29"/>
    <w:qFormat/>
    <w:pPr>
      <w:ind w:left="720" w:right="720"/>
    </w:pPr>
    <w:rPr>
      <w:i/>
    </w:rPr>
  </w:style>
  <w:style w:type="character" w:styleId="723" w:customStyle="1">
    <w:name w:val="Цитата 2 Знак"/>
    <w:link w:val="722"/>
    <w:uiPriority w:val="29"/>
    <w:rPr>
      <w:i/>
    </w:rPr>
  </w:style>
  <w:style w:type="paragraph" w:styleId="724">
    <w:name w:val="Intense Quote"/>
    <w:basedOn w:val="695"/>
    <w:next w:val="695"/>
    <w:link w:val="72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5" w:customStyle="1">
    <w:name w:val="Выделенная цитата Знак"/>
    <w:link w:val="724"/>
    <w:uiPriority w:val="30"/>
    <w:rPr>
      <w:i/>
    </w:rPr>
  </w:style>
  <w:style w:type="paragraph" w:styleId="726">
    <w:name w:val="Header"/>
    <w:basedOn w:val="695"/>
    <w:link w:val="72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7" w:customStyle="1">
    <w:name w:val="Верхний колонтитул Знак"/>
    <w:link w:val="726"/>
    <w:uiPriority w:val="99"/>
  </w:style>
  <w:style w:type="paragraph" w:styleId="728">
    <w:name w:val="Footer"/>
    <w:basedOn w:val="695"/>
    <w:link w:val="731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9" w:customStyle="1">
    <w:name w:val="Footer Char"/>
    <w:uiPriority w:val="99"/>
  </w:style>
  <w:style w:type="paragraph" w:styleId="730">
    <w:name w:val="Caption"/>
    <w:basedOn w:val="695"/>
    <w:next w:val="695"/>
    <w:qFormat/>
    <w:pPr>
      <w:ind w:firstLine="567"/>
      <w:jc w:val="center"/>
      <w:widowControl/>
      <w:framePr w:w="3930" w:h="1875" w:hSpace="180" w:wrap="around" w:vAnchor="text" w:hAnchor="page" w:x="1365" w:y="6"/>
    </w:pPr>
    <w:rPr>
      <w:rFonts w:ascii="TimesET" w:hAnsi="TimesET" w:eastAsia="Times New Roman" w:cs="Times New Roman"/>
      <w:b/>
      <w:sz w:val="26"/>
      <w:lang w:bidi="ar-SA"/>
    </w:rPr>
  </w:style>
  <w:style w:type="character" w:styleId="731" w:customStyle="1">
    <w:name w:val="Нижний колонтитул Знак"/>
    <w:link w:val="728"/>
    <w:uiPriority w:val="99"/>
  </w:style>
  <w:style w:type="table" w:styleId="732">
    <w:name w:val="Table Grid"/>
    <w:basedOn w:val="706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33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4" w:customStyle="1">
    <w:name w:val="Таблица простая 1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 w:customStyle="1">
    <w:name w:val="Таблица простая 21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6" w:customStyle="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7" w:customStyle="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8" w:customStyle="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5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2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9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6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58">
    <w:name w:val="Hyperlink"/>
    <w:rPr>
      <w:color w:val="000080"/>
      <w:u w:val="single"/>
      <w:lang w:val="en-US" w:eastAsia="en-US" w:bidi="en-US"/>
    </w:rPr>
  </w:style>
  <w:style w:type="paragraph" w:styleId="859">
    <w:name w:val="footnote text"/>
    <w:basedOn w:val="695"/>
    <w:link w:val="860"/>
    <w:uiPriority w:val="99"/>
    <w:semiHidden/>
    <w:unhideWhenUsed/>
    <w:pPr>
      <w:spacing w:after="40"/>
    </w:pPr>
    <w:rPr>
      <w:sz w:val="18"/>
    </w:rPr>
  </w:style>
  <w:style w:type="character" w:styleId="860" w:customStyle="1">
    <w:name w:val="Текст сноски Знак"/>
    <w:link w:val="859"/>
    <w:uiPriority w:val="99"/>
    <w:rPr>
      <w:sz w:val="18"/>
    </w:rPr>
  </w:style>
  <w:style w:type="character" w:styleId="861">
    <w:name w:val="footnote reference"/>
    <w:uiPriority w:val="99"/>
    <w:unhideWhenUsed/>
    <w:rPr>
      <w:vertAlign w:val="superscript"/>
    </w:rPr>
  </w:style>
  <w:style w:type="paragraph" w:styleId="862">
    <w:name w:val="endnote text"/>
    <w:basedOn w:val="695"/>
    <w:link w:val="863"/>
    <w:uiPriority w:val="99"/>
    <w:semiHidden/>
    <w:unhideWhenUsed/>
    <w:rPr>
      <w:sz w:val="20"/>
    </w:rPr>
  </w:style>
  <w:style w:type="character" w:styleId="863" w:customStyle="1">
    <w:name w:val="Текст концевой сноски Знак"/>
    <w:link w:val="862"/>
    <w:uiPriority w:val="99"/>
    <w:rPr>
      <w:sz w:val="20"/>
    </w:rPr>
  </w:style>
  <w:style w:type="character" w:styleId="864">
    <w:name w:val="endnote reference"/>
    <w:uiPriority w:val="99"/>
    <w:semiHidden/>
    <w:unhideWhenUsed/>
    <w:rPr>
      <w:vertAlign w:val="superscript"/>
    </w:rPr>
  </w:style>
  <w:style w:type="paragraph" w:styleId="865">
    <w:name w:val="toc 1"/>
    <w:basedOn w:val="695"/>
    <w:next w:val="695"/>
    <w:uiPriority w:val="39"/>
    <w:unhideWhenUsed/>
    <w:pPr>
      <w:spacing w:after="57"/>
    </w:pPr>
  </w:style>
  <w:style w:type="paragraph" w:styleId="866">
    <w:name w:val="toc 2"/>
    <w:basedOn w:val="695"/>
    <w:next w:val="695"/>
    <w:uiPriority w:val="39"/>
    <w:unhideWhenUsed/>
    <w:pPr>
      <w:ind w:left="283"/>
      <w:spacing w:after="57"/>
    </w:pPr>
  </w:style>
  <w:style w:type="paragraph" w:styleId="867">
    <w:name w:val="toc 3"/>
    <w:basedOn w:val="695"/>
    <w:next w:val="695"/>
    <w:uiPriority w:val="39"/>
    <w:unhideWhenUsed/>
    <w:pPr>
      <w:ind w:left="567"/>
      <w:spacing w:after="57"/>
    </w:pPr>
  </w:style>
  <w:style w:type="paragraph" w:styleId="868">
    <w:name w:val="toc 4"/>
    <w:basedOn w:val="695"/>
    <w:next w:val="695"/>
    <w:uiPriority w:val="39"/>
    <w:unhideWhenUsed/>
    <w:pPr>
      <w:ind w:left="850"/>
      <w:spacing w:after="57"/>
    </w:pPr>
  </w:style>
  <w:style w:type="paragraph" w:styleId="869">
    <w:name w:val="toc 5"/>
    <w:basedOn w:val="695"/>
    <w:next w:val="695"/>
    <w:uiPriority w:val="39"/>
    <w:unhideWhenUsed/>
    <w:pPr>
      <w:ind w:left="1134"/>
      <w:spacing w:after="57"/>
    </w:pPr>
  </w:style>
  <w:style w:type="paragraph" w:styleId="870">
    <w:name w:val="toc 6"/>
    <w:basedOn w:val="695"/>
    <w:next w:val="695"/>
    <w:uiPriority w:val="39"/>
    <w:unhideWhenUsed/>
    <w:pPr>
      <w:ind w:left="1417"/>
      <w:spacing w:after="57"/>
    </w:pPr>
  </w:style>
  <w:style w:type="paragraph" w:styleId="871">
    <w:name w:val="toc 7"/>
    <w:basedOn w:val="695"/>
    <w:next w:val="695"/>
    <w:uiPriority w:val="39"/>
    <w:unhideWhenUsed/>
    <w:pPr>
      <w:ind w:left="1701"/>
      <w:spacing w:after="57"/>
    </w:pPr>
  </w:style>
  <w:style w:type="paragraph" w:styleId="872">
    <w:name w:val="toc 8"/>
    <w:basedOn w:val="695"/>
    <w:next w:val="695"/>
    <w:uiPriority w:val="39"/>
    <w:unhideWhenUsed/>
    <w:pPr>
      <w:ind w:left="1984"/>
      <w:spacing w:after="57"/>
    </w:pPr>
  </w:style>
  <w:style w:type="paragraph" w:styleId="873">
    <w:name w:val="toc 9"/>
    <w:basedOn w:val="695"/>
    <w:next w:val="695"/>
    <w:uiPriority w:val="39"/>
    <w:unhideWhenUsed/>
    <w:pPr>
      <w:ind w:left="2268"/>
      <w:spacing w:after="57"/>
    </w:pPr>
  </w:style>
  <w:style w:type="paragraph" w:styleId="874">
    <w:name w:val="TOC Heading"/>
    <w:uiPriority w:val="39"/>
    <w:unhideWhenUsed/>
    <w:rPr>
      <w:lang w:eastAsia="zh-CN"/>
    </w:rPr>
  </w:style>
  <w:style w:type="paragraph" w:styleId="875">
    <w:name w:val="table of figures"/>
    <w:basedOn w:val="695"/>
    <w:next w:val="695"/>
    <w:uiPriority w:val="99"/>
    <w:unhideWhenUsed/>
  </w:style>
  <w:style w:type="paragraph" w:styleId="876">
    <w:name w:val="Body Text"/>
    <w:basedOn w:val="695"/>
    <w:pPr>
      <w:spacing w:after="120"/>
    </w:pPr>
  </w:style>
  <w:style w:type="paragraph" w:styleId="877">
    <w:name w:val="List"/>
    <w:basedOn w:val="876"/>
    <w:rPr>
      <w:rFonts w:cs="Mangal"/>
    </w:rPr>
  </w:style>
  <w:style w:type="paragraph" w:styleId="878" w:customStyle="1">
    <w:name w:val="Название1"/>
    <w:basedOn w:val="695"/>
    <w:pPr>
      <w:spacing w:before="120" w:after="120"/>
      <w:suppressLineNumbers/>
    </w:pPr>
    <w:rPr>
      <w:rFonts w:cs="Mangal"/>
      <w:i/>
      <w:iCs/>
    </w:rPr>
  </w:style>
  <w:style w:type="paragraph" w:styleId="879" w:customStyle="1">
    <w:name w:val="Указатель1"/>
    <w:basedOn w:val="695"/>
    <w:pPr>
      <w:suppressLineNumbers/>
    </w:pPr>
    <w:rPr>
      <w:rFonts w:cs="Mangal"/>
    </w:rPr>
  </w:style>
  <w:style w:type="paragraph" w:styleId="880" w:customStyle="1">
    <w:name w:val="Содержимое таблицы"/>
    <w:basedOn w:val="695"/>
    <w:pPr>
      <w:suppressLineNumbers/>
    </w:pPr>
  </w:style>
  <w:style w:type="paragraph" w:styleId="881" w:customStyle="1">
    <w:name w:val="Заголовок таблицы"/>
    <w:basedOn w:val="880"/>
    <w:pPr>
      <w:jc w:val="center"/>
    </w:pPr>
    <w:rPr>
      <w:b/>
      <w:bCs/>
    </w:rPr>
  </w:style>
  <w:style w:type="paragraph" w:styleId="882">
    <w:name w:val="Body Text Indent 2"/>
    <w:basedOn w:val="695"/>
    <w:pPr>
      <w:ind w:left="283"/>
      <w:spacing w:after="120" w:line="480" w:lineRule="auto"/>
    </w:pPr>
  </w:style>
  <w:style w:type="paragraph" w:styleId="883">
    <w:name w:val="Body Text 2"/>
    <w:basedOn w:val="695"/>
    <w:pPr>
      <w:spacing w:after="120" w:line="480" w:lineRule="auto"/>
    </w:pPr>
  </w:style>
  <w:style w:type="paragraph" w:styleId="884" w:customStyle="1">
    <w:name w:val="Обычный (веб)1"/>
    <w:basedOn w:val="695"/>
    <w:pPr>
      <w:spacing w:before="100" w:beforeAutospacing="1" w:after="119"/>
      <w:widowControl/>
    </w:pPr>
    <w:rPr>
      <w:rFonts w:ascii="Times New Roman" w:hAnsi="Times New Roman" w:eastAsia="Times New Roman" w:cs="Times New Roman"/>
      <w:lang w:bidi="ar-SA"/>
    </w:rPr>
  </w:style>
  <w:style w:type="character" w:styleId="885">
    <w:name w:val="Strong"/>
    <w:qFormat/>
    <w:rPr>
      <w:b/>
      <w:bCs/>
    </w:rPr>
  </w:style>
  <w:style w:type="paragraph" w:styleId="886" w:customStyle="1">
    <w:name w:val="Название проектного документа"/>
    <w:basedOn w:val="695"/>
    <w:pPr>
      <w:ind w:left="1701"/>
      <w:jc w:val="center"/>
      <w:spacing w:line="360" w:lineRule="atLeast"/>
    </w:pPr>
    <w:rPr>
      <w:rFonts w:eastAsia="Times New Roman"/>
      <w:b/>
      <w:bCs/>
      <w:color w:val="000080"/>
      <w:sz w:val="32"/>
      <w:szCs w:val="20"/>
      <w:lang w:bidi="ar-SA"/>
    </w:rPr>
  </w:style>
  <w:style w:type="character" w:styleId="887" w:customStyle="1">
    <w:name w:val="Заголовок 1 Знак"/>
    <w:link w:val="696"/>
    <w:rPr>
      <w:rFonts w:ascii="Arial" w:hAnsi="Arial" w:eastAsia="Arial" w:cs="Arial"/>
      <w:b/>
      <w:bCs/>
      <w:sz w:val="32"/>
      <w:szCs w:val="32"/>
      <w:lang w:val="ru-RU" w:eastAsia="ru-RU" w:bidi="ru-RU"/>
    </w:rPr>
  </w:style>
  <w:style w:type="paragraph" w:styleId="888">
    <w:name w:val="List Paragraph"/>
    <w:basedOn w:val="695"/>
    <w:uiPriority w:val="34"/>
    <w:qFormat/>
    <w:pPr>
      <w:contextualSpacing/>
      <w:ind w:left="720"/>
      <w:widowControl/>
    </w:pPr>
    <w:rPr>
      <w:rFonts w:ascii="Times New Roman" w:hAnsi="Times New Roman" w:eastAsia="Times New Roman" w:cs="Times New Roman"/>
      <w:lang w:bidi="ar-SA"/>
    </w:rPr>
  </w:style>
  <w:style w:type="paragraph" w:styleId="889">
    <w:name w:val="Balloon Text"/>
    <w:basedOn w:val="695"/>
    <w:link w:val="890"/>
    <w:rPr>
      <w:rFonts w:ascii="Tahoma" w:hAnsi="Tahoma" w:cs="Tahoma"/>
      <w:sz w:val="16"/>
      <w:szCs w:val="16"/>
    </w:rPr>
  </w:style>
  <w:style w:type="character" w:styleId="890" w:customStyle="1">
    <w:name w:val="Текст выноски Знак"/>
    <w:link w:val="889"/>
    <w:rPr>
      <w:rFonts w:ascii="Tahoma" w:hAnsi="Tahoma" w:eastAsia="Arial" w:cs="Tahoma"/>
      <w:sz w:val="16"/>
      <w:szCs w:val="16"/>
      <w:lang w:bidi="ru-RU"/>
    </w:rPr>
  </w:style>
  <w:style w:type="paragraph" w:styleId="891" w:customStyle="1">
    <w:name w:val="???????? ?????"/>
    <w:basedOn w:val="695"/>
    <w:pPr>
      <w:spacing w:after="120"/>
    </w:pPr>
    <w:rPr>
      <w:rFonts w:ascii="Times New Roman" w:hAnsi="Times New Roman" w:eastAsia="Times New Roman" w:cs="Times New Roman"/>
      <w:lang w:eastAsia="hi-IN" w:bidi="hi-IN"/>
    </w:rPr>
  </w:style>
  <w:style w:type="character" w:styleId="892" w:customStyle="1">
    <w:name w:val="Неразрешенное упоминание1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6D6AC-B809-44DE-B47A-478BC94FD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Администрация г.Алатыря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</dc:title>
  <dc:creator>ÍÏÏ "Ãàðàíò-Ñåðâèñ"</dc:creator>
  <dc:description>Äîêóìåíò ýêñïîðòèðîâàí èç ñèñòåìû ÃÀÐÀÍÒ</dc:description>
  <cp:lastModifiedBy>e.karpova@cap.ru</cp:lastModifiedBy>
  <cp:revision>22</cp:revision>
  <dcterms:created xsi:type="dcterms:W3CDTF">2026-04-30T12:40:00Z</dcterms:created>
  <dcterms:modified xsi:type="dcterms:W3CDTF">2026-06-23T12:59:36Z</dcterms:modified>
  <cp:version>1048576</cp:version>
</cp:coreProperties>
</file>