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5"/>
        <w:gridCol w:w="7365"/>
      </w:tblGrid>
      <w:tr w:rsidR="00144643">
        <w:tblPrEx>
          <w:tblCellMar>
            <w:top w:w="0" w:type="dxa"/>
            <w:bottom w:w="0" w:type="dxa"/>
          </w:tblCellMar>
        </w:tblPrEx>
        <w:tc>
          <w:tcPr>
            <w:tcW w:w="14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</w:pPr>
            <w:r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sz w:val="20"/>
              </w:rPr>
              <w:br/>
              <w:t>Приказ Минтруда России от 11.07.2024 N 347н</w:t>
            </w:r>
            <w:r>
              <w:rPr>
                <w:rFonts w:ascii="Arial" w:hAnsi="Arial" w:cs="Arial"/>
                <w:sz w:val="20"/>
              </w:rPr>
              <w:br/>
              <w:t>(ред. от 08.08.2025)</w:t>
            </w:r>
            <w:r>
              <w:rPr>
                <w:rFonts w:ascii="Arial" w:hAnsi="Arial" w:cs="Arial"/>
                <w:sz w:val="20"/>
              </w:rPr>
              <w:br/>
              <w:t>"Об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факторами"</w:t>
            </w:r>
            <w:r>
              <w:rPr>
                <w:rFonts w:ascii="Arial" w:hAnsi="Arial" w:cs="Arial"/>
                <w:sz w:val="20"/>
              </w:rPr>
              <w:br/>
              <w:t>(Зарегистрировано в Минюсте России 19.11.2024 N 80230)</w:t>
            </w:r>
            <w:r>
              <w:rPr>
                <w:rFonts w:ascii="Arial" w:hAnsi="Arial" w:cs="Arial"/>
                <w:sz w:val="20"/>
              </w:rPr>
              <w:br/>
              <w:t> </w:t>
            </w:r>
          </w:p>
        </w:tc>
      </w:tr>
      <w:tr w:rsidR="00144643">
        <w:tblPrEx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</w:pPr>
            <w:r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sz w:val="20"/>
              </w:rPr>
              <w:br/>
            </w:r>
            <w:hyperlink r:id="rId5">
              <w:r>
                <w:rPr>
                  <w:rFonts w:ascii="Arial" w:hAnsi="Arial" w:cs="Arial"/>
                  <w:color w:val="0000FF"/>
                  <w:sz w:val="20"/>
                </w:rPr>
                <w:t>Ред. от 11.07.2024, недействующая</w:t>
              </w:r>
            </w:hyperlink>
            <w:r>
              <w:rPr>
                <w:rFonts w:ascii="Arial" w:hAnsi="Arial" w:cs="Arial"/>
                <w:sz w:val="20"/>
              </w:rPr>
              <w:br/>
              <w:t> </w:t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</w:pPr>
            <w:r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sz w:val="20"/>
              </w:rPr>
              <w:br/>
            </w:r>
            <w:hyperlink r:id="rId6">
              <w:r>
                <w:rPr>
                  <w:rFonts w:ascii="Arial" w:hAnsi="Arial" w:cs="Arial"/>
                  <w:color w:val="0000FF"/>
                  <w:sz w:val="20"/>
                </w:rPr>
                <w:t>Ред. от 08.08.2025, действующая</w:t>
              </w:r>
            </w:hyperlink>
            <w:r>
              <w:rPr>
                <w:rFonts w:ascii="Arial" w:hAnsi="Arial" w:cs="Arial"/>
                <w:sz w:val="20"/>
              </w:rPr>
              <w:br/>
              <w:t> </w:t>
            </w:r>
          </w:p>
        </w:tc>
      </w:tr>
      <w:tr w:rsidR="00144643">
        <w:tblPrEx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</w:pPr>
            <w:r>
              <w:rPr>
                <w:rFonts w:ascii="Arial" w:hAnsi="Arial" w:cs="Arial"/>
                <w:b/>
                <w:sz w:val="20"/>
              </w:rPr>
              <w:br/>
              <w:t>Приложение.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</w:t>
            </w:r>
            <w:r>
              <w:rPr>
                <w:rFonts w:ascii="Arial" w:hAnsi="Arial" w:cs="Arial"/>
                <w:b/>
                <w:sz w:val="20"/>
              </w:rPr>
              <w:br/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</w:pPr>
            <w:r>
              <w:rPr>
                <w:rFonts w:ascii="Arial" w:hAnsi="Arial" w:cs="Arial"/>
                <w:b/>
                <w:sz w:val="20"/>
              </w:rPr>
              <w:br/>
              <w:t>Приложение.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</w:t>
            </w:r>
            <w:r>
              <w:rPr>
                <w:rFonts w:ascii="Arial" w:hAnsi="Arial" w:cs="Arial"/>
                <w:b/>
                <w:sz w:val="20"/>
              </w:rPr>
              <w:br/>
            </w:r>
          </w:p>
        </w:tc>
      </w:tr>
      <w:tr w:rsidR="00144643">
        <w:tblPrEx>
          <w:tblBorders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1.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Финансовое обеспечение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 (далее - предупредительные меры), осуществляется страхователем за счет собственных средств с последующим возмещением произведенных им расходов за счет средств бюджета Фонда пенсионного и социального страхования Российской Федерации в пределах суммы, согласованной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отделением</w:t>
            </w:r>
            <w:r>
              <w:rPr>
                <w:rFonts w:ascii="Arial" w:hAnsi="Arial" w:cs="Arial"/>
                <w:sz w:val="20"/>
              </w:rPr>
              <w:t xml:space="preserve"> СФР на эти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цели, но не более суммы страховых взносов на обязательное социальное страхование от несчастных случаев на производстве и профессиональных заболеваний (далее - страховые взносы), начисленных страхователем за текущий финансовый год, за вычетом расходов, произведенных в текущем календарном году на выплату </w:t>
            </w:r>
            <w:hyperlink r:id="rId7">
              <w:r>
                <w:rPr>
                  <w:rFonts w:ascii="Arial" w:hAnsi="Arial" w:cs="Arial"/>
                  <w:color w:val="0000FF"/>
                  <w:sz w:val="20"/>
                </w:rPr>
                <w:t>пособий</w:t>
              </w:r>
            </w:hyperlink>
            <w:r>
              <w:rPr>
                <w:rFonts w:ascii="Arial" w:hAnsi="Arial" w:cs="Arial"/>
                <w:sz w:val="20"/>
              </w:rPr>
              <w:t xml:space="preserve">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(сверх ежегодного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оплачиваемого отпуска, установленного законодательством Российской Федерации) на весь период его лечения и проезда к месту лечения и обратно.</w:t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1.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Финансовое обеспечение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 (далее - предупредительные меры), осуществляется страхователем за счет собственных средств с последующим возмещением произведенных им расходов за счет средств бюджета Фонда пенсионного и социального страхования Российской Федерации в пределах суммы, согласованной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территориальным органом</w:t>
            </w:r>
            <w:r>
              <w:rPr>
                <w:rFonts w:ascii="Arial" w:hAnsi="Arial" w:cs="Arial"/>
                <w:sz w:val="20"/>
              </w:rPr>
              <w:t xml:space="preserve"> СФР на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эти цели, но не более суммы страховых взносов на обязательное социальное страхование от несчастных случаев на производстве и профессиональных заболеваний (далее - страховые взносы), начисленных страхователем за текущий финансовый год, за вычетом расходов, произведенных в текущем календарном году на выплату </w:t>
            </w:r>
            <w:hyperlink r:id="rId8">
              <w:r>
                <w:rPr>
                  <w:rFonts w:ascii="Arial" w:hAnsi="Arial" w:cs="Arial"/>
                  <w:color w:val="0000FF"/>
                  <w:sz w:val="20"/>
                </w:rPr>
                <w:t>пособий</w:t>
              </w:r>
            </w:hyperlink>
            <w:r>
              <w:rPr>
                <w:rFonts w:ascii="Arial" w:hAnsi="Arial" w:cs="Arial"/>
                <w:sz w:val="20"/>
              </w:rPr>
              <w:t xml:space="preserve">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(сверх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ежегодного оплачиваемого отпуска, установленного законодательством Российской Федерации) на весь период его лечения и проезда к месту лечения и обратно.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&lt;2&gt; </w:t>
            </w:r>
            <w:hyperlink r:id="rId9">
              <w:r>
                <w:rPr>
                  <w:rFonts w:ascii="Arial" w:hAnsi="Arial" w:cs="Arial"/>
                  <w:strike/>
                  <w:color w:val="FF0000"/>
                  <w:sz w:val="20"/>
                </w:rPr>
                <w:t>Пункты</w:t>
              </w:r>
            </w:hyperlink>
            <w:hyperlink r:id="rId10">
              <w:r>
                <w:rPr>
                  <w:rFonts w:ascii="Arial" w:hAnsi="Arial" w:cs="Arial"/>
                  <w:color w:val="0000FF"/>
                  <w:sz w:val="20"/>
                </w:rPr>
                <w:t xml:space="preserve"> 53</w:t>
              </w:r>
            </w:hyperlink>
            <w:r>
              <w:rPr>
                <w:rFonts w:ascii="Arial" w:hAnsi="Arial" w:cs="Arial"/>
                <w:sz w:val="20"/>
              </w:rPr>
              <w:t xml:space="preserve"> и </w:t>
            </w:r>
            <w:hyperlink r:id="rId11">
              <w:r>
                <w:rPr>
                  <w:rFonts w:ascii="Arial" w:hAnsi="Arial" w:cs="Arial"/>
                  <w:color w:val="0000FF"/>
                  <w:sz w:val="20"/>
                </w:rPr>
                <w:t>55</w:t>
              </w:r>
            </w:hyperlink>
            <w:r>
              <w:rPr>
                <w:rFonts w:ascii="Arial" w:hAnsi="Arial" w:cs="Arial"/>
                <w:sz w:val="20"/>
              </w:rPr>
              <w:t xml:space="preserve"> Правил </w:t>
            </w:r>
            <w:proofErr w:type="gramStart"/>
            <w:r>
              <w:rPr>
                <w:rFonts w:ascii="Arial" w:hAnsi="Arial" w:cs="Arial"/>
                <w:sz w:val="20"/>
              </w:rPr>
              <w:t>обучения по охране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труда и проверки </w:t>
            </w:r>
            <w:r>
              <w:rPr>
                <w:rFonts w:ascii="Arial" w:hAnsi="Arial" w:cs="Arial"/>
                <w:sz w:val="20"/>
              </w:rPr>
              <w:lastRenderedPageBreak/>
              <w:t>знания требований охраны труда, утвержденных постановлением Правительства Российской Федерации от 24 декабря 2021 г. N 2464, действует до 1 сентября 2026 г.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 xml:space="preserve">&lt;2&gt; </w:t>
            </w:r>
            <w:hyperlink r:id="rId12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Подпункты "в"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, </w:t>
            </w:r>
            <w:hyperlink r:id="rId13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"г"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и </w:t>
            </w:r>
            <w:hyperlink r:id="rId14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"д" пункта 4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, </w:t>
            </w:r>
            <w:hyperlink r:id="rId15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подпункты "а"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- </w:t>
            </w:r>
            <w:hyperlink r:id="rId16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"е" пункта 33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, </w:t>
            </w:r>
            <w:hyperlink r:id="rId17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пункты 38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>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hyperlink r:id="rId18">
              <w:r>
                <w:rPr>
                  <w:rFonts w:ascii="Arial" w:hAnsi="Arial" w:cs="Arial"/>
                  <w:color w:val="0000FF"/>
                  <w:sz w:val="20"/>
                </w:rPr>
                <w:t>53</w:t>
              </w:r>
            </w:hyperlink>
            <w:r>
              <w:rPr>
                <w:rFonts w:ascii="Arial" w:hAnsi="Arial" w:cs="Arial"/>
                <w:sz w:val="20"/>
              </w:rPr>
              <w:t xml:space="preserve"> и </w:t>
            </w:r>
            <w:hyperlink r:id="rId19">
              <w:r>
                <w:rPr>
                  <w:rFonts w:ascii="Arial" w:hAnsi="Arial" w:cs="Arial"/>
                  <w:color w:val="0000FF"/>
                  <w:sz w:val="20"/>
                </w:rPr>
                <w:t>55</w:t>
              </w:r>
            </w:hyperlink>
            <w:r>
              <w:rPr>
                <w:rFonts w:ascii="Arial" w:hAnsi="Arial" w:cs="Arial"/>
                <w:sz w:val="20"/>
              </w:rPr>
              <w:t xml:space="preserve"> Правил </w:t>
            </w:r>
            <w:proofErr w:type="gramStart"/>
            <w:r>
              <w:rPr>
                <w:rFonts w:ascii="Arial" w:hAnsi="Arial" w:cs="Arial"/>
                <w:sz w:val="20"/>
              </w:rPr>
              <w:t>обучения по охране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труда и проверки знания требований охраны труда, утвержденных постановлением Правительства Российской Федерации от 24 декабря 2021 г. N 2464, действует до 1 сентября 2026 г.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 xml:space="preserve">члены комиссий по проверке знания требований охраны труда, работники, проводящие инструктаж по охране труда и обучение требованиям охраны труда, работник, назначенный на микропредприятии работодателем для проведения </w:t>
            </w:r>
            <w:proofErr w:type="gramStart"/>
            <w:r>
              <w:rPr>
                <w:rFonts w:ascii="Arial" w:hAnsi="Arial" w:cs="Arial"/>
                <w:sz w:val="20"/>
              </w:rPr>
              <w:t>проверки знания требований охраны труда</w:t>
            </w:r>
            <w:proofErr w:type="gramEnd"/>
            <w:r>
              <w:rPr>
                <w:rFonts w:ascii="Arial" w:hAnsi="Arial" w:cs="Arial"/>
                <w:sz w:val="20"/>
              </w:rPr>
              <w:t>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председатель (заместители председателя) и</w:t>
            </w:r>
            <w:r>
              <w:rPr>
                <w:rFonts w:ascii="Arial" w:hAnsi="Arial" w:cs="Arial"/>
                <w:sz w:val="20"/>
              </w:rPr>
              <w:t xml:space="preserve"> члены комиссий по проверке знания требований охраны труда, работники, проводящие инструктаж по охране труда и обучение требованиям охраны труда, работник, назначенный на микропредприятии работодателем для проведения </w:t>
            </w:r>
            <w:proofErr w:type="gramStart"/>
            <w:r>
              <w:rPr>
                <w:rFonts w:ascii="Arial" w:hAnsi="Arial" w:cs="Arial"/>
                <w:sz w:val="20"/>
              </w:rPr>
              <w:t>проверки знания требований охраны труда</w:t>
            </w:r>
            <w:proofErr w:type="gramEnd"/>
            <w:r>
              <w:rPr>
                <w:rFonts w:ascii="Arial" w:hAnsi="Arial" w:cs="Arial"/>
                <w:sz w:val="20"/>
              </w:rPr>
              <w:t>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t>г) приобретение работникам средств индивидуальной защиты, изготовленных на территории государств - членов Евразийского экономического союза (далее - СИЗ), и смывающих средств на основании норм бесплатной выдачи СИЗ и смывающих средств, утвержденных локальным нормативным актом и разработанных на основании Единых типовых норм выдачи средств индивидуальной защиты и смывающих средств &lt;3&gt; (далее - Единые типовые нормы), с учетом результатов специальной оценки условий труда, результатов оценки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профессиональных рисков, мнения выборного органа первичной профсоюзной организации или иного уполномоченного представительного органа работников (при его наличии)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лица, обязанные оказывать первую помощь пострадавшим;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работники, к трудовым функциям которых отнесено управление автотранспортным средством;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работники, к компетенциям которых предъявляются требования уметь оказывать первую помощь пострадавшим;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работники, применяющие средства индивидуальной защиты, применение которых требует практических навыков;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t>г) приобретение работникам средств индивидуальной защиты, изготовленных на территории государств - членов Евразийского экономического союза (далее - СИЗ), и смывающих средств на основании норм бесплатной выдачи СИЗ и смывающих средств, утвержденных локальным нормативным актом и разработанных на основании Единых типовых норм выдачи средств индивидуальной защиты и смывающих средств &lt;3&gt; (далее - Единые типовые нормы), с учетом результатов специальной оценки условий труда, результатов оценки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профессиональных рисков, мнения выборного органа первичной профсоюзной организации или иного уполномоченного представительного органа работников (при его наличии)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, а также приобретение автоматизированных систем выдачи (вендингового оборудования) и дозаторов для выдачи </w:t>
            </w: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>СИЗ</w:t>
            </w:r>
            <w:proofErr w:type="gramEnd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и смывающих средств;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д) санаторно-курортное лечение работников, занятых на работах с вредными и (или) опасными производственными факторами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(</w:t>
            </w:r>
            <w:r>
              <w:rPr>
                <w:rFonts w:ascii="Arial" w:hAnsi="Arial" w:cs="Arial"/>
                <w:sz w:val="20"/>
              </w:rPr>
              <w:t>исключая размещение в номерах высшей категории);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>д) санаторно-курортное лечение работников, занятых на работах с вредными и (или) опасными производственными факторами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, с учетом оплаты туристического налога согласно Налоговому </w:t>
            </w:r>
            <w:hyperlink r:id="rId20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кодексу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Российской Федерации (</w:t>
            </w:r>
            <w:r>
              <w:rPr>
                <w:rFonts w:ascii="Arial" w:hAnsi="Arial" w:cs="Arial"/>
                <w:sz w:val="20"/>
              </w:rPr>
              <w:t>исключая размещение в номерах высшей категории);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lastRenderedPageBreak/>
              <w:t>з) приобретение страхователями, работники которых проходят обязательные предсменные (послесменные) и (или) предрейсовые (послерейсовые) медицинские осмотры, медицинских изделий для количественного определения алкоголя в выдыхаемом воздухе, а также для определения наличия психоактивных веществ в моче, прошедших процедуру государственной регистрации медицинских изделий и внесенных в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 &lt;5&gt;;</w:t>
            </w:r>
            <w:proofErr w:type="gramEnd"/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t xml:space="preserve">з) приобретение страхователями, работники которых проходят обязательные предсменные (послесменные) и (или) предрейсовые (послерейсовые) медицинские осмотры, медицинских изделий для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измерения артериального давления и пульса,</w:t>
            </w:r>
            <w:r>
              <w:rPr>
                <w:rFonts w:ascii="Arial" w:hAnsi="Arial" w:cs="Arial"/>
                <w:sz w:val="20"/>
              </w:rPr>
              <w:t xml:space="preserve"> количественного определения алкоголя в выдыхаемом воздухе, а также для определения наличия психоактивных веществ в моче,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и оборудования, обеспечивающего автоматизированное дистанционное проведение указанных в настоящем подпункте осмотров,</w:t>
            </w:r>
            <w:r>
              <w:rPr>
                <w:rFonts w:ascii="Arial" w:hAnsi="Arial" w:cs="Arial"/>
                <w:sz w:val="20"/>
              </w:rPr>
              <w:t xml:space="preserve"> прошедших процедуру государственной регистрации медицинских изделий и внесенных в государственный реестр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медицинских изделий и организаций (индивидуальных предпринимателей), осуществляющих производство и изготовление медицинских изделий &lt;5&gt;;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--------------------------------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&lt;5&gt; </w:t>
            </w:r>
            <w:hyperlink r:id="rId21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Часть десятая статьи 38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Федерального закона от 21 ноября 2011 г. N 323-ФЗ "Об основах охраны здоровья граждан в Российской Федерации"; </w:t>
            </w:r>
            <w:hyperlink r:id="rId22">
              <w:proofErr w:type="gramStart"/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постановление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Правительства Российской Федерации от 30 ноября 2024 г. N 1684 "Об утверждении Правил государственной регистрации медицинских изделий", действует до 31 декабря 2026 г., за исключением </w:t>
            </w:r>
            <w:hyperlink r:id="rId23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пунктов 63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, </w:t>
            </w:r>
            <w:hyperlink r:id="rId24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87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и </w:t>
            </w:r>
            <w:hyperlink r:id="rId25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101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указанных Правил, которые действуют до 31 декабря 2025 г.; </w:t>
            </w:r>
            <w:hyperlink r:id="rId26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Правила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ведения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утвержденные постановлением Правительства Российской</w:t>
            </w:r>
            <w:proofErr w:type="gramEnd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Федерации от 30 сентября 2021 г. N 1650, действует до 1 марта 2028 г.; </w:t>
            </w:r>
            <w:hyperlink r:id="rId27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Решение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Совета Евразийской экономической комиссии от 12 февраля 2016 г. N 46 "О Правилах регистрации и экспертизы безопасности, качества и эффективности медицинских изделий", вступило в силу 8 мая 2017 г., является обязательным для Российской Федерации в соответствии с </w:t>
            </w:r>
            <w:hyperlink r:id="rId28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Договором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о Евразийском экономическом союзе, ратифицированным Федеральным </w:t>
            </w:r>
            <w:hyperlink r:id="rId29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законом</w:t>
              </w:r>
              <w:proofErr w:type="gramEnd"/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от 3 октября 2014 г. N 279-ФЗ "О ратификации Договора о Евразийском экономическом союзе" (вступил в силу для Российской Федерации 1 января 2015 г.).</w:t>
            </w:r>
          </w:p>
          <w:p w:rsidR="00144643" w:rsidRDefault="00144643">
            <w:pPr>
              <w:spacing w:after="1" w:line="200" w:lineRule="atLeast"/>
              <w:jc w:val="both"/>
              <w:outlineLvl w:val="0"/>
            </w:pPr>
          </w:p>
          <w:p w:rsidR="00144643" w:rsidRDefault="00144643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и) приобретение страхователями, осуществляющими пассажирские и грузовые перевозки, приборов </w:t>
            </w: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>контроля за</w:t>
            </w:r>
            <w:proofErr w:type="gramEnd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режимом труда и отдыха водителей (тахографов), а также программно-аппаратного шифровального (криптографического) средства;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lastRenderedPageBreak/>
              <w:t>к) приобретение страхователями аптечек для оказания работниками первой помощи пострадавшим с применением медицинских изделий (далее - аптечки для оказания первой помощи) и (или) комплектующих к ним медицинских изделий;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>л) приобретение отдельных приборов, устройств, оборудования и (или) комплексов (систем) приборов, устройств, оборудования, непосредственно предназначенных для обеспечения безопасности работников и (или) контроля за безопасным ведением работ, в том числе обеспечивающих дистанционный контроль, видео-, аудио или иную фиксацию, в рамках технологических процессов, в том числе на подземных работах;</w:t>
            </w:r>
            <w:proofErr w:type="gramEnd"/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м) приобретение отдельных приборов, устройств, оборудования, в том числе компьютерных тренажеров, манекенов-тренажеров, программного обеспечения, видеофильмов и (или) комплексов (систем) приборов, устройств, оборудования, непосредственно обеспечивающих проведение обучения по вопросам безопасного ведения работ, в том числе горных работ, и действиям в случае аварии или инцидента на опасном производственном объекте, обучения практическим навыкам оказания первой помощи пострадавшим, и (или) дистанционную виде</w:t>
            </w: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>о-</w:t>
            </w:r>
            <w:proofErr w:type="gramEnd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и аудиофиксацию инструктажей, обучения и иных форм подготовки работников по безопасному производству работ, а также хранение результатов такой фиксации;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н) санаторно-курортное лечение работников не ранее чем за пять лет до достижения ими возраста, дающего право на назначение страховой пенсии по старости в соответствии с пенсионным законодательством Российской Федерации, с учетом оплаты туристического налога согласно Налоговому </w:t>
            </w:r>
            <w:hyperlink r:id="rId30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кодексу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Российской Федерации (исключая размещение в номерах высшей категории);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о) приобретение отдельных приборов, устройств, оборудования и (или) комплексов (систем) приборов, устройств, оборудования, сервисов, систем, непосредственно предназначенных для мониторинга на рабочем месте состояния здоровья работников, занятых на работах с вредными и (или) опасными производственными факторами, а также приобретение приборов, оборудования для оснащения медицинского пункта (здравпункта, кабинета) страхователя: электрокардиографа портативного,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lastRenderedPageBreak/>
              <w:t>автоматического дефибриллятора, аппарата для измерения артериального давления, кислородного ингалятора, аппарата для</w:t>
            </w:r>
            <w:proofErr w:type="gramEnd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искусственной вентиляции легких </w:t>
            </w: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>ручного</w:t>
            </w:r>
            <w:proofErr w:type="gramEnd"/>
            <w:r>
              <w:rPr>
                <w:rFonts w:ascii="Arial" w:hAnsi="Arial" w:cs="Arial"/>
                <w:sz w:val="20"/>
                <w:shd w:val="clear" w:color="auto" w:fill="C0C0C0"/>
              </w:rPr>
              <w:t>, прошедших процедуру государственной регистрации медицинских изделий и внесенных в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 &lt;5(1)&gt;;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 xml:space="preserve">&lt;5&gt; </w:t>
            </w:r>
            <w:hyperlink r:id="rId31">
              <w:r>
                <w:rPr>
                  <w:rFonts w:ascii="Arial" w:hAnsi="Arial" w:cs="Arial"/>
                  <w:color w:val="0000FF"/>
                  <w:sz w:val="20"/>
                </w:rPr>
                <w:t xml:space="preserve">Часть </w:t>
              </w:r>
            </w:hyperlink>
            <w:hyperlink r:id="rId32">
              <w:r>
                <w:rPr>
                  <w:rFonts w:ascii="Arial" w:hAnsi="Arial" w:cs="Arial"/>
                  <w:strike/>
                  <w:color w:val="FF0000"/>
                  <w:sz w:val="20"/>
                </w:rPr>
                <w:t>десятая</w:t>
              </w:r>
            </w:hyperlink>
            <w:hyperlink r:id="rId33">
              <w:r>
                <w:rPr>
                  <w:rFonts w:ascii="Arial" w:hAnsi="Arial" w:cs="Arial"/>
                  <w:color w:val="0000FF"/>
                  <w:sz w:val="20"/>
                </w:rPr>
                <w:t xml:space="preserve"> статьи 38</w:t>
              </w:r>
            </w:hyperlink>
            <w:r>
              <w:rPr>
                <w:rFonts w:ascii="Arial" w:hAnsi="Arial" w:cs="Arial"/>
                <w:sz w:val="20"/>
              </w:rPr>
              <w:t xml:space="preserve"> Федерального закона от 21 ноября 2011 г. N 323-ФЗ "Об основах охраны здоровья граждан в Российской Федерации"; </w:t>
            </w:r>
            <w:hyperlink r:id="rId34">
              <w:r>
                <w:rPr>
                  <w:rFonts w:ascii="Arial" w:hAnsi="Arial" w:cs="Arial"/>
                  <w:color w:val="0000FF"/>
                  <w:sz w:val="20"/>
                </w:rPr>
                <w:t>постановление</w:t>
              </w:r>
            </w:hyperlink>
            <w:r>
              <w:rPr>
                <w:rFonts w:ascii="Arial" w:hAnsi="Arial" w:cs="Arial"/>
                <w:sz w:val="20"/>
              </w:rPr>
              <w:t xml:space="preserve"> Правительства Российской Федерации от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27 декабря 2012</w:t>
            </w:r>
            <w:r>
              <w:rPr>
                <w:rFonts w:ascii="Arial" w:hAnsi="Arial" w:cs="Arial"/>
                <w:sz w:val="20"/>
              </w:rPr>
              <w:t xml:space="preserve"> г. N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1416</w:t>
            </w:r>
            <w:r>
              <w:rPr>
                <w:rFonts w:ascii="Arial" w:hAnsi="Arial" w:cs="Arial"/>
                <w:sz w:val="20"/>
              </w:rPr>
              <w:t xml:space="preserve"> "Об утверждении Правил государственной регистрации медицинских изделий"; </w:t>
            </w:r>
            <w:hyperlink r:id="rId35">
              <w:proofErr w:type="gramStart"/>
              <w:r>
                <w:rPr>
                  <w:rFonts w:ascii="Arial" w:hAnsi="Arial" w:cs="Arial"/>
                  <w:color w:val="0000FF"/>
                  <w:sz w:val="20"/>
                </w:rPr>
                <w:t>Правила</w:t>
              </w:r>
            </w:hyperlink>
            <w:r>
              <w:rPr>
                <w:rFonts w:ascii="Arial" w:hAnsi="Arial" w:cs="Arial"/>
                <w:sz w:val="20"/>
              </w:rPr>
              <w:t xml:space="preserve"> ведения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утвержденные постановлением Правительства Российской Федерации от 30 сентября 2021 г. N 1650, действует до 1 марта 2028 г.; </w:t>
            </w:r>
            <w:hyperlink r:id="rId36">
              <w:r>
                <w:rPr>
                  <w:rFonts w:ascii="Arial" w:hAnsi="Arial" w:cs="Arial"/>
                  <w:color w:val="0000FF"/>
                  <w:sz w:val="20"/>
                </w:rPr>
                <w:t>Решение</w:t>
              </w:r>
            </w:hyperlink>
            <w:r>
              <w:rPr>
                <w:rFonts w:ascii="Arial" w:hAnsi="Arial" w:cs="Arial"/>
                <w:sz w:val="20"/>
              </w:rPr>
              <w:t xml:space="preserve"> Совета Евразийской экономической комиссии от 12 февраля 2016 г. N 46 "О Правилах регистрации и экспертизы безопасности, качества и эффективности медицинских изделий", вступило в силу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8 мая 2017 г., является обязательным для Российской Федерации в соответствии с </w:t>
            </w:r>
            <w:hyperlink r:id="rId37">
              <w:r>
                <w:rPr>
                  <w:rFonts w:ascii="Arial" w:hAnsi="Arial" w:cs="Arial"/>
                  <w:color w:val="0000FF"/>
                  <w:sz w:val="20"/>
                </w:rPr>
                <w:t>Договором</w:t>
              </w:r>
            </w:hyperlink>
            <w:r>
              <w:rPr>
                <w:rFonts w:ascii="Arial" w:hAnsi="Arial" w:cs="Arial"/>
                <w:sz w:val="20"/>
              </w:rPr>
              <w:t xml:space="preserve"> о Евразийском экономическом союзе, ратифицированным Федеральным </w:t>
            </w:r>
            <w:hyperlink r:id="rId38">
              <w:r>
                <w:rPr>
                  <w:rFonts w:ascii="Arial" w:hAnsi="Arial" w:cs="Arial"/>
                  <w:color w:val="0000FF"/>
                  <w:sz w:val="20"/>
                </w:rPr>
                <w:t>законом</w:t>
              </w:r>
            </w:hyperlink>
            <w:r>
              <w:rPr>
                <w:rFonts w:ascii="Arial" w:hAnsi="Arial" w:cs="Arial"/>
                <w:sz w:val="20"/>
              </w:rPr>
              <w:t xml:space="preserve"> от 3 октября 2014 г. N 279-ФЗ "О ратификации Договора о Евразийском экономическом союзе" (вступил в силу для Российской Федерации 1 января 2015 г.).</w:t>
            </w:r>
          </w:p>
          <w:p w:rsidR="00144643" w:rsidRDefault="00144643">
            <w:pPr>
              <w:spacing w:after="1" w:line="200" w:lineRule="atLeast"/>
              <w:jc w:val="both"/>
            </w:pPr>
          </w:p>
          <w:p w:rsidR="00144643" w:rsidRDefault="00144643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trike/>
                <w:color w:val="FF0000"/>
                <w:sz w:val="20"/>
              </w:rPr>
              <w:t xml:space="preserve">и) приобретение страхователями, осуществляющими пассажирские и грузовые перевозки, приборов </w:t>
            </w:r>
            <w:proofErr w:type="gramStart"/>
            <w:r>
              <w:rPr>
                <w:rFonts w:ascii="Arial" w:hAnsi="Arial" w:cs="Arial"/>
                <w:strike/>
                <w:color w:val="FF0000"/>
                <w:sz w:val="20"/>
              </w:rPr>
              <w:t>контроля за</w:t>
            </w:r>
            <w:proofErr w:type="gramEnd"/>
            <w:r>
              <w:rPr>
                <w:rFonts w:ascii="Arial" w:hAnsi="Arial" w:cs="Arial"/>
                <w:strike/>
                <w:color w:val="FF0000"/>
                <w:sz w:val="20"/>
              </w:rPr>
              <w:t xml:space="preserve"> режимом труда и отдыха водителей (тахографов);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trike/>
                <w:color w:val="FF0000"/>
                <w:sz w:val="20"/>
              </w:rPr>
              <w:t>к) приобретение страхователями аптечек для оказания работниками первой помощи пострадавшим с применением медицинских изделий (далее - аптечки для оказания первой помощи);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trike/>
                <w:color w:val="FF0000"/>
                <w:sz w:val="20"/>
              </w:rPr>
              <w:t xml:space="preserve">л) приобретение отдельных приборов, устройств, оборудования и (или) комплексов (систем) приборов, устройств, оборудования, непосредственно предназначенных для обеспечения безопасности работников и (или) </w:t>
            </w:r>
            <w:proofErr w:type="gramStart"/>
            <w:r>
              <w:rPr>
                <w:rFonts w:ascii="Arial" w:hAnsi="Arial" w:cs="Arial"/>
                <w:strike/>
                <w:color w:val="FF0000"/>
                <w:sz w:val="20"/>
              </w:rPr>
              <w:t>контроля за</w:t>
            </w:r>
            <w:proofErr w:type="gramEnd"/>
            <w:r>
              <w:rPr>
                <w:rFonts w:ascii="Arial" w:hAnsi="Arial" w:cs="Arial"/>
                <w:strike/>
                <w:color w:val="FF0000"/>
                <w:sz w:val="20"/>
              </w:rPr>
              <w:t xml:space="preserve"> безопасным ведением работ в рамках технологических процессов, в том числе на подземных работах;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trike/>
                <w:color w:val="FF0000"/>
                <w:sz w:val="20"/>
              </w:rPr>
              <w:lastRenderedPageBreak/>
              <w:t>м) приобретение отдельных приборов, устройств, оборудования, в том числе компьютерных тренажеров, программного обеспечения, видеофильмов и (или) комплексов (систем) приборов, устройств, оборудования, непосредственно обеспечивающих проведение обучения по вопросам безопасного ведения работ, в том числе горных работ, и действиям в случае аварии или инцидента на опасном производственном объекте и (или) дистанционную виде</w:t>
            </w:r>
            <w:proofErr w:type="gramStart"/>
            <w:r>
              <w:rPr>
                <w:rFonts w:ascii="Arial" w:hAnsi="Arial" w:cs="Arial"/>
                <w:strike/>
                <w:color w:val="FF0000"/>
                <w:sz w:val="20"/>
              </w:rPr>
              <w:t>о-</w:t>
            </w:r>
            <w:proofErr w:type="gramEnd"/>
            <w:r>
              <w:rPr>
                <w:rFonts w:ascii="Arial" w:hAnsi="Arial" w:cs="Arial"/>
                <w:strike/>
                <w:color w:val="FF0000"/>
                <w:sz w:val="20"/>
              </w:rPr>
              <w:t xml:space="preserve"> и аудиофиксацию инструктажей, обучения и иных форм подготовки работников по безопасному производству работ, а также хранение результатов такой фиксации;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trike/>
                <w:color w:val="FF0000"/>
                <w:sz w:val="20"/>
              </w:rPr>
              <w:t>н) санаторно-курортное лечение работников не ранее чем за пять лет до достижения ими возраста, дающего право на назначение страховой пенсии по старости в соответствии с пенсионным законодательством Российской Федерации (исключая размещение в номерах высшей категории);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trike/>
                <w:color w:val="FF0000"/>
                <w:sz w:val="20"/>
              </w:rPr>
              <w:t>о) приобретение отдельных приборов, устройств, оборудования и (или) комплексов (систем) приборов, устройств, оборудования, сервисов, систем, непосредственно предназначенных для мониторинга на рабочем месте состояния здоровья работников, занятых на работах с вредными и (или) опасными производственными факторами;</w:t>
            </w:r>
            <w:proofErr w:type="gramEnd"/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>&lt;5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(1)</w:t>
            </w:r>
            <w:r>
              <w:rPr>
                <w:rFonts w:ascii="Arial" w:hAnsi="Arial" w:cs="Arial"/>
                <w:sz w:val="20"/>
              </w:rPr>
              <w:t xml:space="preserve">&gt; </w:t>
            </w:r>
            <w:hyperlink r:id="rId39">
              <w:r>
                <w:rPr>
                  <w:rFonts w:ascii="Arial" w:hAnsi="Arial" w:cs="Arial"/>
                  <w:color w:val="0000FF"/>
                  <w:sz w:val="20"/>
                </w:rPr>
                <w:t xml:space="preserve">Часть </w:t>
              </w:r>
            </w:hyperlink>
            <w:hyperlink r:id="rId40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10</w:t>
              </w:r>
            </w:hyperlink>
            <w:hyperlink r:id="rId41">
              <w:r>
                <w:rPr>
                  <w:rFonts w:ascii="Arial" w:hAnsi="Arial" w:cs="Arial"/>
                  <w:color w:val="0000FF"/>
                  <w:sz w:val="20"/>
                </w:rPr>
                <w:t xml:space="preserve"> статьи 38</w:t>
              </w:r>
            </w:hyperlink>
            <w:r>
              <w:rPr>
                <w:rFonts w:ascii="Arial" w:hAnsi="Arial" w:cs="Arial"/>
                <w:sz w:val="20"/>
              </w:rPr>
              <w:t xml:space="preserve"> Федерального закона от 21 ноября 2011 г. N 323-ФЗ "Об основах охраны здоровья граждан в Российской Федерации"; </w:t>
            </w:r>
            <w:hyperlink r:id="rId42">
              <w:r>
                <w:rPr>
                  <w:rFonts w:ascii="Arial" w:hAnsi="Arial" w:cs="Arial"/>
                  <w:color w:val="0000FF"/>
                  <w:sz w:val="20"/>
                </w:rPr>
                <w:t>постановление</w:t>
              </w:r>
            </w:hyperlink>
            <w:r>
              <w:rPr>
                <w:rFonts w:ascii="Arial" w:hAnsi="Arial" w:cs="Arial"/>
                <w:sz w:val="20"/>
              </w:rPr>
              <w:t xml:space="preserve"> Правительства Российской Федерации от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30 ноября 2024</w:t>
            </w:r>
            <w:r>
              <w:rPr>
                <w:rFonts w:ascii="Arial" w:hAnsi="Arial" w:cs="Arial"/>
                <w:sz w:val="20"/>
              </w:rPr>
              <w:t xml:space="preserve"> г. N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1684</w:t>
            </w:r>
            <w:r>
              <w:rPr>
                <w:rFonts w:ascii="Arial" w:hAnsi="Arial" w:cs="Arial"/>
                <w:sz w:val="20"/>
              </w:rPr>
              <w:t xml:space="preserve"> "Об утверждении Правил государственной регистрации медицинских изделий"; </w:t>
            </w:r>
            <w:hyperlink r:id="rId43">
              <w:proofErr w:type="gramStart"/>
              <w:r>
                <w:rPr>
                  <w:rFonts w:ascii="Arial" w:hAnsi="Arial" w:cs="Arial"/>
                  <w:color w:val="0000FF"/>
                  <w:sz w:val="20"/>
                </w:rPr>
                <w:t>Правила</w:t>
              </w:r>
            </w:hyperlink>
            <w:r>
              <w:rPr>
                <w:rFonts w:ascii="Arial" w:hAnsi="Arial" w:cs="Arial"/>
                <w:sz w:val="20"/>
              </w:rPr>
              <w:t xml:space="preserve"> ведения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утвержденные постановлением Правительства Российской Федерации от 30 сентября 2021 г. N 1650, действует до 1 марта 2028 г.; </w:t>
            </w:r>
            <w:hyperlink r:id="rId44">
              <w:r>
                <w:rPr>
                  <w:rFonts w:ascii="Arial" w:hAnsi="Arial" w:cs="Arial"/>
                  <w:color w:val="0000FF"/>
                  <w:sz w:val="20"/>
                </w:rPr>
                <w:t>Решение</w:t>
              </w:r>
            </w:hyperlink>
            <w:r>
              <w:rPr>
                <w:rFonts w:ascii="Arial" w:hAnsi="Arial" w:cs="Arial"/>
                <w:sz w:val="20"/>
              </w:rPr>
              <w:t xml:space="preserve"> Совета Евразийской экономической комиссии от 12 февраля 2016 г. N 46 "О Правилах регистрации и экспертизы безопасности, качества и эффективности медицинских изделий", вступило в силу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8 мая 2017 г., является обязательным для Российской Федерации в соответствии с </w:t>
            </w:r>
            <w:hyperlink r:id="rId45">
              <w:r>
                <w:rPr>
                  <w:rFonts w:ascii="Arial" w:hAnsi="Arial" w:cs="Arial"/>
                  <w:color w:val="0000FF"/>
                  <w:sz w:val="20"/>
                </w:rPr>
                <w:t>Договором</w:t>
              </w:r>
            </w:hyperlink>
            <w:r>
              <w:rPr>
                <w:rFonts w:ascii="Arial" w:hAnsi="Arial" w:cs="Arial"/>
                <w:sz w:val="20"/>
              </w:rPr>
              <w:t xml:space="preserve"> о Евразийском экономическом союзе, ратифицированным Федеральным </w:t>
            </w:r>
            <w:hyperlink r:id="rId46">
              <w:r>
                <w:rPr>
                  <w:rFonts w:ascii="Arial" w:hAnsi="Arial" w:cs="Arial"/>
                  <w:color w:val="0000FF"/>
                  <w:sz w:val="20"/>
                </w:rPr>
                <w:t>законом</w:t>
              </w:r>
            </w:hyperlink>
            <w:r>
              <w:rPr>
                <w:rFonts w:ascii="Arial" w:hAnsi="Arial" w:cs="Arial"/>
                <w:sz w:val="20"/>
              </w:rPr>
              <w:t xml:space="preserve"> от 3 октября 2014 г. N 279-ФЗ "О ратификации Договора о Евразийском экономическом союзе" (вступил в силу для Российской Федерации 1 января 2015 г.).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 xml:space="preserve">4.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Страхователь или обособленное подразделение страхователя, зарегистрированное в соответствии с </w:t>
            </w:r>
            <w:hyperlink r:id="rId47">
              <w:r>
                <w:rPr>
                  <w:rFonts w:ascii="Arial" w:hAnsi="Arial" w:cs="Arial"/>
                  <w:color w:val="0000FF"/>
                  <w:sz w:val="20"/>
                </w:rPr>
                <w:t>подпунктом 2 пункта 1 статьи 6</w:t>
              </w:r>
            </w:hyperlink>
            <w:r>
              <w:rPr>
                <w:rFonts w:ascii="Arial" w:hAnsi="Arial" w:cs="Arial"/>
                <w:sz w:val="20"/>
              </w:rPr>
              <w:t xml:space="preserve"> Федерального закона от 24 июля 1998 г. N 125-ФЗ "Об обязательном социальном страховании от несчастных случаев на производстве и профессиональных заболеваний" (далее - страхователь), в срок до 1 августа текущего календарного года обращается с </w:t>
            </w:r>
            <w:hyperlink r:id="rId48">
              <w:r>
                <w:rPr>
                  <w:rFonts w:ascii="Arial" w:hAnsi="Arial" w:cs="Arial"/>
                  <w:color w:val="0000FF"/>
                  <w:sz w:val="20"/>
                </w:rPr>
                <w:t>заявлением</w:t>
              </w:r>
            </w:hyperlink>
            <w:r>
              <w:rPr>
                <w:rFonts w:ascii="Arial" w:hAnsi="Arial" w:cs="Arial"/>
                <w:sz w:val="20"/>
              </w:rPr>
              <w:t xml:space="preserve"> о финансовом обеспечении предупредительных мер в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</w:t>
            </w:r>
            <w:r>
              <w:rPr>
                <w:rFonts w:ascii="Arial" w:hAnsi="Arial" w:cs="Arial"/>
                <w:sz w:val="20"/>
              </w:rPr>
              <w:t xml:space="preserve"> СФР по месту своей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регистрации и </w:t>
            </w:r>
            <w:hyperlink r:id="rId49">
              <w:r>
                <w:rPr>
                  <w:rFonts w:ascii="Arial" w:hAnsi="Arial" w:cs="Arial"/>
                  <w:color w:val="0000FF"/>
                  <w:sz w:val="20"/>
                </w:rPr>
                <w:t>планом</w:t>
              </w:r>
            </w:hyperlink>
            <w:r>
              <w:rPr>
                <w:rFonts w:ascii="Arial" w:hAnsi="Arial" w:cs="Arial"/>
                <w:sz w:val="20"/>
              </w:rPr>
              <w:t xml:space="preserve"> финансового обеспечения предупредительных мер, рекомендуемый образец которого приведен в приложении к настоящим Правилам (далее соответственно - заявление, план финансового обеспечения).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>Заявление представляется страхователем либо лицом, представляющим его интересы, на бумажном носителе либо в форме электронного документа.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4.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Страхователь или обособленное подразделение страхователя, зарегистрированное в соответствии с </w:t>
            </w:r>
            <w:hyperlink r:id="rId50">
              <w:r>
                <w:rPr>
                  <w:rFonts w:ascii="Arial" w:hAnsi="Arial" w:cs="Arial"/>
                  <w:color w:val="0000FF"/>
                  <w:sz w:val="20"/>
                </w:rPr>
                <w:t>подпунктом 2 пункта 1 статьи 6</w:t>
              </w:r>
            </w:hyperlink>
            <w:r>
              <w:rPr>
                <w:rFonts w:ascii="Arial" w:hAnsi="Arial" w:cs="Arial"/>
                <w:sz w:val="20"/>
              </w:rPr>
              <w:t xml:space="preserve"> Федерального закона от 24 июля 1998 г. N 125-ФЗ "Об обязательном социальном страховании от несчастных случаев на производстве и профессиональных заболеваний" (далее - страхователь), в срок до 1 августа текущего календарного года обращается с </w:t>
            </w:r>
            <w:hyperlink r:id="rId51">
              <w:r>
                <w:rPr>
                  <w:rFonts w:ascii="Arial" w:hAnsi="Arial" w:cs="Arial"/>
                  <w:color w:val="0000FF"/>
                  <w:sz w:val="20"/>
                </w:rPr>
                <w:t>заявлением</w:t>
              </w:r>
            </w:hyperlink>
            <w:r>
              <w:rPr>
                <w:rFonts w:ascii="Arial" w:hAnsi="Arial" w:cs="Arial"/>
                <w:sz w:val="20"/>
              </w:rPr>
              <w:t xml:space="preserve"> о финансовом обеспечении предупредительных мер в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территориальный орган</w:t>
            </w:r>
            <w:r>
              <w:rPr>
                <w:rFonts w:ascii="Arial" w:hAnsi="Arial" w:cs="Arial"/>
                <w:sz w:val="20"/>
              </w:rPr>
              <w:t xml:space="preserve"> СФР по месту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своей регистрации и </w:t>
            </w:r>
            <w:hyperlink r:id="rId52">
              <w:r>
                <w:rPr>
                  <w:rFonts w:ascii="Arial" w:hAnsi="Arial" w:cs="Arial"/>
                  <w:color w:val="0000FF"/>
                  <w:sz w:val="20"/>
                </w:rPr>
                <w:t>планом</w:t>
              </w:r>
            </w:hyperlink>
            <w:r>
              <w:rPr>
                <w:rFonts w:ascii="Arial" w:hAnsi="Arial" w:cs="Arial"/>
                <w:sz w:val="20"/>
              </w:rPr>
              <w:t xml:space="preserve"> финансового обеспечения предупредительных мер, рекомендуемый образец которого приведен в приложении к настоящим Правилам (далее соответственно - заявление, план финансового обеспечения).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>Заявление представляется страхователем либо лицом, представляющим его интересы, на бумажном носителе либо в форме электронного документа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, подписанного усиленной квалифицированной электронной подписью. Заявление может быть представлено непосредственно в территориальный орган СФР, либо по почте, либо с использованием информационно-телекоммуникационных сетей общего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lastRenderedPageBreak/>
              <w:t>пользования, в том числе информационно-телекоммуникационной сети "Интернет", включая федеральную государственную информационную систему "Единый портал государственных и муниципальных услуг (функций)" &lt;8(1)&gt;, либо через многофункциональный центр предоставления государственных и муниципальных услуг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--------------------------------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&lt;8(1)&gt; </w:t>
            </w:r>
            <w:hyperlink r:id="rId53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Положение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о федеральной государственной информационной системе "Единый портал государственных и муниципальных услуг (функций)", утвержденное постановлением Правительства Российской Федерации от 24 октября 2011 г. N 861.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 xml:space="preserve">5. Решение о финансовом обеспечении предупредительных мер или об отказе в финансовом обеспечении предупредительных мер принимается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отделением СФР: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а) в течение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10</w:t>
            </w:r>
            <w:r>
              <w:rPr>
                <w:rFonts w:ascii="Arial" w:hAnsi="Arial" w:cs="Arial"/>
                <w:sz w:val="20"/>
              </w:rPr>
              <w:t xml:space="preserve"> рабочих дней со дня получения заявления и </w:t>
            </w:r>
            <w:hyperlink r:id="rId54">
              <w:r>
                <w:rPr>
                  <w:rFonts w:ascii="Arial" w:hAnsi="Arial" w:cs="Arial"/>
                  <w:color w:val="0000FF"/>
                  <w:sz w:val="20"/>
                </w:rPr>
                <w:t>плана</w:t>
              </w:r>
            </w:hyperlink>
            <w:r>
              <w:rPr>
                <w:rFonts w:ascii="Arial" w:hAnsi="Arial" w:cs="Arial"/>
                <w:sz w:val="20"/>
              </w:rPr>
              <w:t xml:space="preserve"> финансового обеспечения;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5. Решение о финансовом обеспечении предупредительных мер или об отказе в финансовом обеспечении предупредительных мер принимается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территориальным органом СФР: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а) в течение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9</w:t>
            </w:r>
            <w:r>
              <w:rPr>
                <w:rFonts w:ascii="Arial" w:hAnsi="Arial" w:cs="Arial"/>
                <w:sz w:val="20"/>
              </w:rPr>
              <w:t xml:space="preserve"> рабочих дней со дня получения заявления и </w:t>
            </w:r>
            <w:hyperlink r:id="rId55">
              <w:r>
                <w:rPr>
                  <w:rFonts w:ascii="Arial" w:hAnsi="Arial" w:cs="Arial"/>
                  <w:color w:val="0000FF"/>
                  <w:sz w:val="20"/>
                </w:rPr>
                <w:t>плана</w:t>
              </w:r>
            </w:hyperlink>
            <w:r>
              <w:rPr>
                <w:rFonts w:ascii="Arial" w:hAnsi="Arial" w:cs="Arial"/>
                <w:sz w:val="20"/>
              </w:rPr>
              <w:t xml:space="preserve"> финансового обеспечения;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В этом случае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</w:t>
            </w:r>
            <w:r>
              <w:rPr>
                <w:rFonts w:ascii="Arial" w:hAnsi="Arial" w:cs="Arial"/>
                <w:sz w:val="20"/>
              </w:rPr>
              <w:t xml:space="preserve"> СФР в течение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3</w:t>
            </w:r>
            <w:r>
              <w:rPr>
                <w:rFonts w:ascii="Arial" w:hAnsi="Arial" w:cs="Arial"/>
                <w:sz w:val="20"/>
              </w:rPr>
              <w:t xml:space="preserve"> рабочих дней со дня получения заявления и полного комплекта документов, указанных в </w:t>
            </w:r>
            <w:hyperlink r:id="rId56">
              <w:r>
                <w:rPr>
                  <w:rFonts w:ascii="Arial" w:hAnsi="Arial" w:cs="Arial"/>
                  <w:color w:val="0000FF"/>
                  <w:sz w:val="20"/>
                </w:rPr>
                <w:t>пункте 4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направляет их и проект решения на согласование в СФР.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СФР согласовывает (или отказывает в согласовании, с указанием причин) представленный проект решения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отделения</w:t>
            </w:r>
            <w:r>
              <w:rPr>
                <w:rFonts w:ascii="Arial" w:hAnsi="Arial" w:cs="Arial"/>
                <w:sz w:val="20"/>
              </w:rPr>
              <w:t xml:space="preserve"> СФР в части предупредительных мер, предусмотренных </w:t>
            </w:r>
            <w:hyperlink r:id="rId57">
              <w:r>
                <w:rPr>
                  <w:rFonts w:ascii="Arial" w:hAnsi="Arial" w:cs="Arial"/>
                  <w:color w:val="0000FF"/>
                  <w:sz w:val="20"/>
                </w:rPr>
                <w:t>подпунктом "п" пункта 2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в течение 15 рабочих дней со дня его поступления с учетом экспертных мнений членов межведомственной комиссии по согласованию проектов решений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отделений</w:t>
            </w:r>
            <w:r>
              <w:rPr>
                <w:rFonts w:ascii="Arial" w:hAnsi="Arial" w:cs="Arial"/>
                <w:sz w:val="20"/>
              </w:rPr>
              <w:t xml:space="preserve"> СФР о финансовом обеспечении предупредительных мер в части приобретения приборов, устройств, оборудования (приборы, устройства</w:t>
            </w:r>
            <w:proofErr w:type="gramEnd"/>
            <w:r>
              <w:rPr>
                <w:rFonts w:ascii="Arial" w:hAnsi="Arial" w:cs="Arial"/>
                <w:sz w:val="20"/>
              </w:rPr>
              <w:t>, оборудование стран - членов Евразийского экономического союза, при отсутствии отечественных аналогов - импортных приборов, устройств, оборудования при условии включения соответствующих мероприятий в отраслевые планы импортозамещения), обеспечивающих безопасное ведение горных работ, в рамках модернизации основных производств &lt;9&gt;.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В этом случае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территориальный орган</w:t>
            </w:r>
            <w:r>
              <w:rPr>
                <w:rFonts w:ascii="Arial" w:hAnsi="Arial" w:cs="Arial"/>
                <w:sz w:val="20"/>
              </w:rPr>
              <w:t xml:space="preserve"> СФР в течение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2</w:t>
            </w:r>
            <w:r>
              <w:rPr>
                <w:rFonts w:ascii="Arial" w:hAnsi="Arial" w:cs="Arial"/>
                <w:sz w:val="20"/>
              </w:rPr>
              <w:t xml:space="preserve"> рабочих дней со дня получения заявления и полного комплекта документов, указанных в </w:t>
            </w:r>
            <w:hyperlink r:id="rId58">
              <w:r>
                <w:rPr>
                  <w:rFonts w:ascii="Arial" w:hAnsi="Arial" w:cs="Arial"/>
                  <w:color w:val="0000FF"/>
                  <w:sz w:val="20"/>
                </w:rPr>
                <w:t>пункте 4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направляет их и проект решения на согласование в СФР.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СФР согласовывает (или отказывает в согласовании, с указанием причин) представленный проект решения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территориального органа</w:t>
            </w:r>
            <w:r>
              <w:rPr>
                <w:rFonts w:ascii="Arial" w:hAnsi="Arial" w:cs="Arial"/>
                <w:sz w:val="20"/>
              </w:rPr>
              <w:t xml:space="preserve"> СФР в части предупредительных мер, предусмотренных </w:t>
            </w:r>
            <w:hyperlink r:id="rId59">
              <w:r>
                <w:rPr>
                  <w:rFonts w:ascii="Arial" w:hAnsi="Arial" w:cs="Arial"/>
                  <w:color w:val="0000FF"/>
                  <w:sz w:val="20"/>
                </w:rPr>
                <w:t>подпунктом "п" пункта 2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в течение 15 рабочих дней со дня его поступления с учетом экспертных мнений членов межведомственной комиссии по согласованию проектов решений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территориальных органов</w:t>
            </w:r>
            <w:r>
              <w:rPr>
                <w:rFonts w:ascii="Arial" w:hAnsi="Arial" w:cs="Arial"/>
                <w:sz w:val="20"/>
              </w:rPr>
              <w:t xml:space="preserve"> СФР о финансовом обеспечении предупредительных мер в части приобретения приборов, устройств, оборудования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(приборы, устройства, оборудование стран - членов Евразийского экономического союза, при отсутствии отечественных аналогов - импортных приборов, устройств, оборудования при условии включения соответствующих мероприятий в отраслевые планы импортозамещения), обеспечивающих безопасное ведение горных работ, в рамках модернизации основных производств &lt;9&gt;.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trike/>
                <w:color w:val="FF0000"/>
                <w:sz w:val="20"/>
              </w:rPr>
              <w:t>6. Отделение</w:t>
            </w:r>
            <w:r>
              <w:rPr>
                <w:rFonts w:ascii="Arial" w:hAnsi="Arial" w:cs="Arial"/>
                <w:sz w:val="20"/>
              </w:rPr>
              <w:t xml:space="preserve"> СФР принимает решение об отказе в финансовом обеспечении предупредительных мер в следующих случаях: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>а) если на день подачи заявления у страхователя имеются непогашенные недоимка, задолженность по пеням и штрафам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, образовавшиеся по итогам отчетного периода в текущем финансовом году, недоимка, выявленная в ходе камеральной или выездной проверки, и (или) начисленные пени и штрафы по итогам камеральной или выездной проверки;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>б) если предусмотренные бюджетом СФР средства на финансовое обеспечение предупредительных мер на текущий финансовый год полностью распределены.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lastRenderedPageBreak/>
              <w:t xml:space="preserve">Решение о финансовом обеспечении предупредительных мер или об отказе в финансовом обеспечении предупредительных мер оформляется решением территориального органа СФР, в течение 1 рабочего дня со дня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lastRenderedPageBreak/>
              <w:t>его подписания направляется страхователю и размещается в личном кабинете страхователя на официальном сайте СФР в информационно-телекоммуникационной сети "Интернет" (далее - сайт СФР) (при наличии технической возможности) (в случае принятия решения об отказе в финансовом обеспечении</w:t>
            </w:r>
            <w:proofErr w:type="gramEnd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предупредительных мер - с обоснованием причин отказа).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6. Территориальный орган</w:t>
            </w:r>
            <w:r>
              <w:rPr>
                <w:rFonts w:ascii="Arial" w:hAnsi="Arial" w:cs="Arial"/>
                <w:sz w:val="20"/>
              </w:rPr>
              <w:t xml:space="preserve"> СФР принимает решение об отказе в финансовом обеспечении предупредительных мер в следующих случаях: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>а) если на день подачи заявления у страхователя имеются непогашенные недоимка, задолженность по пеням и штрафам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>б) если предусмотренные бюджетом СФР средства на финансовое обеспечение предупредительных мер на текущий финансовый год полностью распределены;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sz w:val="20"/>
              </w:rPr>
              <w:lastRenderedPageBreak/>
              <w:t> </w:t>
            </w:r>
            <w:r>
              <w:rPr>
                <w:rFonts w:ascii="Arial" w:hAnsi="Arial" w:cs="Arial"/>
                <w:sz w:val="20"/>
              </w:rPr>
              <w:br/>
              <w:t>&lt;фрагмент не существовал&gt;</w:t>
            </w:r>
            <w:r>
              <w:rPr>
                <w:rFonts w:ascii="Arial" w:hAnsi="Arial" w:cs="Arial"/>
                <w:sz w:val="20"/>
              </w:rPr>
              <w:br/>
              <w:t> 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в) документы, предусмотренные </w:t>
            </w:r>
            <w:hyperlink r:id="rId60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пунктом 4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настоящих Правил, которые страхователь должен представить самостоятельно, представлены страхователем не в полном объеме;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г) представленные страхователем документы содержат недостоверную информацию.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Страхователь вправе повторно, но не позднее срока, установленного </w:t>
            </w:r>
            <w:hyperlink r:id="rId61">
              <w:r>
                <w:rPr>
                  <w:rFonts w:ascii="Arial" w:hAnsi="Arial" w:cs="Arial"/>
                  <w:color w:val="0000FF"/>
                  <w:sz w:val="20"/>
                </w:rPr>
                <w:t>пунктом 4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обратиться с заявлением в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</w:t>
            </w:r>
            <w:r>
              <w:rPr>
                <w:rFonts w:ascii="Arial" w:hAnsi="Arial" w:cs="Arial"/>
                <w:sz w:val="20"/>
              </w:rPr>
              <w:t xml:space="preserve"> СФР по месту своей регистрации.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7.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Страхователь вправе дополнительно, если им первоначально было подано заявление на сумму меньше расчетного объема средств, направляемых на финансовое обеспечение предупредительных мер, предусмотренного </w:t>
            </w:r>
            <w:hyperlink r:id="rId62">
              <w:r>
                <w:rPr>
                  <w:rFonts w:ascii="Arial" w:hAnsi="Arial" w:cs="Arial"/>
                  <w:color w:val="0000FF"/>
                  <w:sz w:val="20"/>
                </w:rPr>
                <w:t>пунктом 1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 (далее - расчетный объем средств), и после получения решения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отделения</w:t>
            </w:r>
            <w:r>
              <w:rPr>
                <w:rFonts w:ascii="Arial" w:hAnsi="Arial" w:cs="Arial"/>
                <w:sz w:val="20"/>
              </w:rPr>
              <w:t xml:space="preserve"> СФР о финансовом обеспечении предупредительных мер обратиться в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</w:t>
            </w:r>
            <w:r>
              <w:rPr>
                <w:rFonts w:ascii="Arial" w:hAnsi="Arial" w:cs="Arial"/>
                <w:sz w:val="20"/>
              </w:rPr>
              <w:t xml:space="preserve"> СФР по месту своей регистрации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до 1 сентября</w:t>
            </w:r>
            <w:r>
              <w:rPr>
                <w:rFonts w:ascii="Arial" w:hAnsi="Arial" w:cs="Arial"/>
                <w:sz w:val="20"/>
              </w:rPr>
              <w:t xml:space="preserve"> текущего календарного года с заявлением и </w:t>
            </w:r>
            <w:hyperlink r:id="rId63">
              <w:r>
                <w:rPr>
                  <w:rFonts w:ascii="Arial" w:hAnsi="Arial" w:cs="Arial"/>
                  <w:color w:val="0000FF"/>
                  <w:sz w:val="20"/>
                </w:rPr>
                <w:t>планом</w:t>
              </w:r>
            </w:hyperlink>
            <w:r>
              <w:rPr>
                <w:rFonts w:ascii="Arial" w:hAnsi="Arial" w:cs="Arial"/>
                <w:sz w:val="20"/>
              </w:rPr>
              <w:t xml:space="preserve"> финансового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обеспечения на сумму, не превышающую разницу между расчетным объемом средств и суммой финансового обеспечения предупредительных мер, указанной в решении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отделения</w:t>
            </w:r>
            <w:r>
              <w:rPr>
                <w:rFonts w:ascii="Arial" w:hAnsi="Arial" w:cs="Arial"/>
                <w:sz w:val="20"/>
              </w:rPr>
              <w:t xml:space="preserve"> СФР по первоначальному заявлению.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 xml:space="preserve">При этом решение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отделения</w:t>
            </w:r>
            <w:r>
              <w:rPr>
                <w:rFonts w:ascii="Arial" w:hAnsi="Arial" w:cs="Arial"/>
                <w:sz w:val="20"/>
              </w:rPr>
              <w:t xml:space="preserve"> СФР принимается в соответствии с </w:t>
            </w:r>
            <w:hyperlink r:id="rId64">
              <w:r>
                <w:rPr>
                  <w:rFonts w:ascii="Arial" w:hAnsi="Arial" w:cs="Arial"/>
                  <w:color w:val="0000FF"/>
                  <w:sz w:val="20"/>
                </w:rPr>
                <w:t>пунктом 6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Страхователь вправе самостоятельно принимать решение о внесении изменений в </w:t>
            </w:r>
            <w:hyperlink r:id="rId65">
              <w:r>
                <w:rPr>
                  <w:rFonts w:ascii="Arial" w:hAnsi="Arial" w:cs="Arial"/>
                  <w:color w:val="0000FF"/>
                  <w:sz w:val="20"/>
                </w:rPr>
                <w:t>план</w:t>
              </w:r>
            </w:hyperlink>
            <w:r>
              <w:rPr>
                <w:rFonts w:ascii="Arial" w:hAnsi="Arial" w:cs="Arial"/>
                <w:sz w:val="20"/>
              </w:rPr>
              <w:t xml:space="preserve"> финансового обеспечения в пределах разрешенной суммы финансового обеспечения, при этом повторное направление заявления и </w:t>
            </w:r>
            <w:hyperlink r:id="rId66">
              <w:r>
                <w:rPr>
                  <w:rFonts w:ascii="Arial" w:hAnsi="Arial" w:cs="Arial"/>
                  <w:color w:val="0000FF"/>
                  <w:sz w:val="20"/>
                </w:rPr>
                <w:t>плана</w:t>
              </w:r>
            </w:hyperlink>
            <w:r>
              <w:rPr>
                <w:rFonts w:ascii="Arial" w:hAnsi="Arial" w:cs="Arial"/>
                <w:sz w:val="20"/>
              </w:rPr>
              <w:t xml:space="preserve"> финансового </w:t>
            </w:r>
            <w:proofErr w:type="gramStart"/>
            <w:r>
              <w:rPr>
                <w:rFonts w:ascii="Arial" w:hAnsi="Arial" w:cs="Arial"/>
                <w:sz w:val="20"/>
              </w:rPr>
              <w:t>обеспечения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предупредительных мер в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</w:t>
            </w:r>
            <w:r>
              <w:rPr>
                <w:rFonts w:ascii="Arial" w:hAnsi="Arial" w:cs="Arial"/>
                <w:sz w:val="20"/>
              </w:rPr>
              <w:t xml:space="preserve"> СФР не требуется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В случае включения в </w:t>
            </w:r>
            <w:hyperlink r:id="rId67">
              <w:r>
                <w:rPr>
                  <w:rFonts w:ascii="Arial" w:hAnsi="Arial" w:cs="Arial"/>
                  <w:color w:val="0000FF"/>
                  <w:sz w:val="20"/>
                </w:rPr>
                <w:t>план</w:t>
              </w:r>
            </w:hyperlink>
            <w:r>
              <w:rPr>
                <w:rFonts w:ascii="Arial" w:hAnsi="Arial" w:cs="Arial"/>
                <w:sz w:val="20"/>
              </w:rPr>
              <w:t xml:space="preserve"> финансового обеспечения, при внесении в него изменений, предупредительных мер, предусмотренных </w:t>
            </w:r>
            <w:hyperlink r:id="rId68">
              <w:r>
                <w:rPr>
                  <w:rFonts w:ascii="Arial" w:hAnsi="Arial" w:cs="Arial"/>
                  <w:color w:val="0000FF"/>
                  <w:sz w:val="20"/>
                </w:rPr>
                <w:t>подпунктом "п" пункта 2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страхователь обязан предоставить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вместе с заявлением</w:t>
            </w:r>
            <w:r>
              <w:rPr>
                <w:rFonts w:ascii="Arial" w:hAnsi="Arial" w:cs="Arial"/>
                <w:sz w:val="20"/>
              </w:rPr>
              <w:t xml:space="preserve"> документы (копии документов), предусмотренные </w:t>
            </w:r>
            <w:hyperlink r:id="rId69">
              <w:r>
                <w:rPr>
                  <w:rFonts w:ascii="Arial" w:hAnsi="Arial" w:cs="Arial"/>
                  <w:color w:val="0000FF"/>
                  <w:sz w:val="20"/>
                </w:rPr>
                <w:t>пунктом 4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trike/>
                <w:color w:val="FF0000"/>
                <w:sz w:val="20"/>
              </w:rPr>
              <w:t>8. Отделение</w:t>
            </w:r>
            <w:r>
              <w:rPr>
                <w:rFonts w:ascii="Arial" w:hAnsi="Arial" w:cs="Arial"/>
                <w:sz w:val="20"/>
              </w:rPr>
              <w:t xml:space="preserve"> СФР размещает на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официальном</w:t>
            </w:r>
            <w:r>
              <w:rPr>
                <w:rFonts w:ascii="Arial" w:hAnsi="Arial" w:cs="Arial"/>
                <w:sz w:val="20"/>
              </w:rPr>
              <w:t xml:space="preserve"> сайте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отделения СФР в информационно-телекоммуникационной сети "Интернет"</w:t>
            </w:r>
            <w:r>
              <w:rPr>
                <w:rFonts w:ascii="Arial" w:hAnsi="Arial" w:cs="Arial"/>
                <w:sz w:val="20"/>
              </w:rPr>
              <w:t xml:space="preserve"> и в личном кабинете страхователя на сайте СФР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в информационно-телекоммуникационной сети "Интернет"</w:t>
            </w:r>
            <w:r>
              <w:rPr>
                <w:rFonts w:ascii="Arial" w:hAnsi="Arial" w:cs="Arial"/>
                <w:sz w:val="20"/>
              </w:rPr>
              <w:t xml:space="preserve"> (при наличии технической возможности) информацию: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 xml:space="preserve">Страхователь вправе повторно, но не позднее срока, установленного </w:t>
            </w:r>
            <w:hyperlink r:id="rId70">
              <w:r>
                <w:rPr>
                  <w:rFonts w:ascii="Arial" w:hAnsi="Arial" w:cs="Arial"/>
                  <w:color w:val="0000FF"/>
                  <w:sz w:val="20"/>
                </w:rPr>
                <w:t>пунктом 4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обратиться с заявлением в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территориальный орган</w:t>
            </w:r>
            <w:r>
              <w:rPr>
                <w:rFonts w:ascii="Arial" w:hAnsi="Arial" w:cs="Arial"/>
                <w:sz w:val="20"/>
              </w:rPr>
              <w:t xml:space="preserve"> СФР по месту своей регистрации.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При доведении до территориального органа СФР дополнительных средств на финансовое обеспечение предупредительных мер территориальный орган СФР отменяет решение об отказе в финансовом обеспечении предупредительных мер, принятое по причине отсутствия средств на текущий финансовый год, и принимает решение о финансовом обеспечении предупредительных мер с соблюдением очередности подачи страхователями заявления, о чем информирует страхователя в соответствии с </w:t>
            </w:r>
            <w:hyperlink r:id="rId71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абзацем пятым пункта 5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настоящих</w:t>
            </w:r>
            <w:proofErr w:type="gramEnd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Правил.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7.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Страхователь вправе дополнительно, если им первоначально было подано заявление на сумму меньше расчетного объема средств, направляемых на финансовое обеспечение предупредительных мер, </w:t>
            </w:r>
            <w:r>
              <w:rPr>
                <w:rFonts w:ascii="Arial" w:hAnsi="Arial" w:cs="Arial"/>
                <w:sz w:val="20"/>
              </w:rPr>
              <w:lastRenderedPageBreak/>
              <w:t xml:space="preserve">предусмотренного </w:t>
            </w:r>
            <w:hyperlink r:id="rId72">
              <w:r>
                <w:rPr>
                  <w:rFonts w:ascii="Arial" w:hAnsi="Arial" w:cs="Arial"/>
                  <w:color w:val="0000FF"/>
                  <w:sz w:val="20"/>
                </w:rPr>
                <w:t>пунктом 1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 (далее - расчетный объем средств), и после получения решения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территориального органа</w:t>
            </w:r>
            <w:r>
              <w:rPr>
                <w:rFonts w:ascii="Arial" w:hAnsi="Arial" w:cs="Arial"/>
                <w:sz w:val="20"/>
              </w:rPr>
              <w:t xml:space="preserve"> СФР о финансовом обеспечении предупредительных мер обратиться в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территориальный орган</w:t>
            </w:r>
            <w:r>
              <w:rPr>
                <w:rFonts w:ascii="Arial" w:hAnsi="Arial" w:cs="Arial"/>
                <w:sz w:val="20"/>
              </w:rPr>
              <w:t xml:space="preserve"> СФР по месту своей регистрации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не позднее 15 октября</w:t>
            </w:r>
            <w:r>
              <w:rPr>
                <w:rFonts w:ascii="Arial" w:hAnsi="Arial" w:cs="Arial"/>
                <w:sz w:val="20"/>
              </w:rPr>
              <w:t xml:space="preserve"> текущего календарного года с заявлением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и планом финансового обеспечения на сумму, не превышающую разницу между расчетным объемом средств и суммой финансового обеспечения предупредительных мер, указанной в решении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территориального органа</w:t>
            </w:r>
            <w:r>
              <w:rPr>
                <w:rFonts w:ascii="Arial" w:hAnsi="Arial" w:cs="Arial"/>
                <w:sz w:val="20"/>
              </w:rPr>
              <w:t xml:space="preserve"> СФР по первоначальному заявлению.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При этом решение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территориального органа</w:t>
            </w:r>
            <w:r>
              <w:rPr>
                <w:rFonts w:ascii="Arial" w:hAnsi="Arial" w:cs="Arial"/>
                <w:sz w:val="20"/>
              </w:rPr>
              <w:t xml:space="preserve"> СФР принимается в соответствии с </w:t>
            </w:r>
            <w:hyperlink r:id="rId73">
              <w:r>
                <w:rPr>
                  <w:rFonts w:ascii="Arial" w:hAnsi="Arial" w:cs="Arial"/>
                  <w:color w:val="0000FF"/>
                  <w:sz w:val="20"/>
                </w:rPr>
                <w:t>пунктом 6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Страхователь вправе самостоятельно принимать решение о внесении изменений в </w:t>
            </w:r>
            <w:hyperlink r:id="rId74">
              <w:r>
                <w:rPr>
                  <w:rFonts w:ascii="Arial" w:hAnsi="Arial" w:cs="Arial"/>
                  <w:color w:val="0000FF"/>
                  <w:sz w:val="20"/>
                </w:rPr>
                <w:t>план</w:t>
              </w:r>
            </w:hyperlink>
            <w:r>
              <w:rPr>
                <w:rFonts w:ascii="Arial" w:hAnsi="Arial" w:cs="Arial"/>
                <w:sz w:val="20"/>
              </w:rPr>
              <w:t xml:space="preserve"> финансового обеспечения в пределах разрешенной суммы финансового обеспечения, при этом повторное направление заявления и </w:t>
            </w:r>
            <w:hyperlink r:id="rId75">
              <w:r>
                <w:rPr>
                  <w:rFonts w:ascii="Arial" w:hAnsi="Arial" w:cs="Arial"/>
                  <w:color w:val="0000FF"/>
                  <w:sz w:val="20"/>
                </w:rPr>
                <w:t>плана</w:t>
              </w:r>
            </w:hyperlink>
            <w:r>
              <w:rPr>
                <w:rFonts w:ascii="Arial" w:hAnsi="Arial" w:cs="Arial"/>
                <w:sz w:val="20"/>
              </w:rPr>
              <w:t xml:space="preserve"> финансового </w:t>
            </w:r>
            <w:proofErr w:type="gramStart"/>
            <w:r>
              <w:rPr>
                <w:rFonts w:ascii="Arial" w:hAnsi="Arial" w:cs="Arial"/>
                <w:sz w:val="20"/>
              </w:rPr>
              <w:t>обеспечения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предупредительных мер в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территориальный орган</w:t>
            </w:r>
            <w:r>
              <w:rPr>
                <w:rFonts w:ascii="Arial" w:hAnsi="Arial" w:cs="Arial"/>
                <w:sz w:val="20"/>
              </w:rPr>
              <w:t xml:space="preserve"> СФР не требуется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, за исключением внесения изменений в план финансового обеспечения в части предупредительных мер, предусмотренных </w:t>
            </w:r>
            <w:hyperlink r:id="rId76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подпунктом "п" пункта 2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настоящих Правил.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В случае включения в </w:t>
            </w:r>
            <w:hyperlink r:id="rId77">
              <w:r>
                <w:rPr>
                  <w:rFonts w:ascii="Arial" w:hAnsi="Arial" w:cs="Arial"/>
                  <w:color w:val="0000FF"/>
                  <w:sz w:val="20"/>
                </w:rPr>
                <w:t>план</w:t>
              </w:r>
            </w:hyperlink>
            <w:r>
              <w:rPr>
                <w:rFonts w:ascii="Arial" w:hAnsi="Arial" w:cs="Arial"/>
                <w:sz w:val="20"/>
              </w:rPr>
              <w:t xml:space="preserve"> финансового обеспечения, при внесении в него изменений, предупредительных мер, предусмотренных </w:t>
            </w:r>
            <w:hyperlink r:id="rId78">
              <w:r>
                <w:rPr>
                  <w:rFonts w:ascii="Arial" w:hAnsi="Arial" w:cs="Arial"/>
                  <w:color w:val="0000FF"/>
                  <w:sz w:val="20"/>
                </w:rPr>
                <w:t>подпунктом "п" пункта 2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страхователь обязан предоставить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заявление и</w:t>
            </w:r>
            <w:r>
              <w:rPr>
                <w:rFonts w:ascii="Arial" w:hAnsi="Arial" w:cs="Arial"/>
                <w:sz w:val="20"/>
              </w:rPr>
              <w:t xml:space="preserve"> документы (копии документов), предусмотренные </w:t>
            </w:r>
            <w:hyperlink r:id="rId79">
              <w:r>
                <w:rPr>
                  <w:rFonts w:ascii="Arial" w:hAnsi="Arial" w:cs="Arial"/>
                  <w:color w:val="0000FF"/>
                  <w:sz w:val="20"/>
                </w:rPr>
                <w:t>пунктом 4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В случае неполного использования разрешенной суммы финансового обеспечения предупредительных мер, предусмотренной решением о финансовом обеспечении предупредительных мер, страхователь имеет право в срок, установленный </w:t>
            </w:r>
            <w:hyperlink r:id="rId80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абзацем первым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настоящего пункта, обратиться в территориальный орган СФР по месту своей регистрации с заявлением и планом финансового обеспечения об уменьшении указанных средств.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8. Территориальный орган</w:t>
            </w:r>
            <w:r>
              <w:rPr>
                <w:rFonts w:ascii="Arial" w:hAnsi="Arial" w:cs="Arial"/>
                <w:sz w:val="20"/>
              </w:rPr>
              <w:t xml:space="preserve"> СФР размещает на сайте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СФР</w:t>
            </w:r>
            <w:r>
              <w:rPr>
                <w:rFonts w:ascii="Arial" w:hAnsi="Arial" w:cs="Arial"/>
                <w:sz w:val="20"/>
              </w:rPr>
              <w:t xml:space="preserve"> и в личном кабинете страхователя на сайте СФР (при наличии технической возможности) информацию: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 xml:space="preserve">9. Страхователь после выполнения всех предупредительных мер или </w:t>
            </w:r>
            <w:r>
              <w:rPr>
                <w:rFonts w:ascii="Arial" w:hAnsi="Arial" w:cs="Arial"/>
                <w:sz w:val="20"/>
              </w:rPr>
              <w:lastRenderedPageBreak/>
              <w:t xml:space="preserve">хотя бы одной предупредительной меры обращается с </w:t>
            </w:r>
            <w:hyperlink r:id="rId81">
              <w:r>
                <w:rPr>
                  <w:rFonts w:ascii="Arial" w:hAnsi="Arial" w:cs="Arial"/>
                  <w:color w:val="0000FF"/>
                  <w:sz w:val="20"/>
                </w:rPr>
                <w:t>заявлением</w:t>
              </w:r>
            </w:hyperlink>
            <w:r>
              <w:rPr>
                <w:rFonts w:ascii="Arial" w:hAnsi="Arial" w:cs="Arial"/>
                <w:sz w:val="20"/>
              </w:rPr>
              <w:t xml:space="preserve"> о возмещении произведенных расходов на оплату предупредительных мер (далее - заявление о возмещении расходов) в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</w:t>
            </w:r>
            <w:r>
              <w:rPr>
                <w:rFonts w:ascii="Arial" w:hAnsi="Arial" w:cs="Arial"/>
                <w:sz w:val="20"/>
              </w:rPr>
              <w:t xml:space="preserve"> СФР по месту своей регистрации в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срок до 15 ноября</w:t>
            </w:r>
            <w:r>
              <w:rPr>
                <w:rFonts w:ascii="Arial" w:hAnsi="Arial" w:cs="Arial"/>
                <w:sz w:val="20"/>
              </w:rPr>
              <w:t xml:space="preserve"> текущего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календарного</w:t>
            </w:r>
            <w:r>
              <w:rPr>
                <w:rFonts w:ascii="Arial" w:hAnsi="Arial" w:cs="Arial"/>
                <w:sz w:val="20"/>
              </w:rPr>
              <w:t xml:space="preserve"> года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>Заявление о возмещении расходов с прилагаемыми к нему документами (копиями документов) представляется страхователем либо лицом, представляющим его интересы, на бумажном носителе либо в форме электронного документа.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 xml:space="preserve">9.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Страхователь после выполнения всех предупредительных мер или </w:t>
            </w:r>
            <w:r>
              <w:rPr>
                <w:rFonts w:ascii="Arial" w:hAnsi="Arial" w:cs="Arial"/>
                <w:sz w:val="20"/>
              </w:rPr>
              <w:lastRenderedPageBreak/>
              <w:t>хотя бы одной предупредительной меры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, в том числе в ходе ее выполнения,</w:t>
            </w:r>
            <w:r>
              <w:rPr>
                <w:rFonts w:ascii="Arial" w:hAnsi="Arial" w:cs="Arial"/>
                <w:sz w:val="20"/>
              </w:rPr>
              <w:t xml:space="preserve"> обращается с </w:t>
            </w:r>
            <w:hyperlink r:id="rId82">
              <w:r>
                <w:rPr>
                  <w:rFonts w:ascii="Arial" w:hAnsi="Arial" w:cs="Arial"/>
                  <w:color w:val="0000FF"/>
                  <w:sz w:val="20"/>
                </w:rPr>
                <w:t>заявлением</w:t>
              </w:r>
            </w:hyperlink>
            <w:r>
              <w:rPr>
                <w:rFonts w:ascii="Arial" w:hAnsi="Arial" w:cs="Arial"/>
                <w:sz w:val="20"/>
              </w:rPr>
              <w:t xml:space="preserve"> о возмещении произведенных расходов на оплату предупредительных мер (далее - заявление о возмещении расходов) в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территориальный орган</w:t>
            </w:r>
            <w:r>
              <w:rPr>
                <w:rFonts w:ascii="Arial" w:hAnsi="Arial" w:cs="Arial"/>
                <w:sz w:val="20"/>
              </w:rPr>
              <w:t xml:space="preserve"> СФР по месту своей регистрации в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течение</w:t>
            </w:r>
            <w:r>
              <w:rPr>
                <w:rFonts w:ascii="Arial" w:hAnsi="Arial" w:cs="Arial"/>
                <w:sz w:val="20"/>
              </w:rPr>
              <w:t xml:space="preserve"> текущего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финансового</w:t>
            </w:r>
            <w:r>
              <w:rPr>
                <w:rFonts w:ascii="Arial" w:hAnsi="Arial" w:cs="Arial"/>
                <w:sz w:val="20"/>
              </w:rPr>
              <w:t xml:space="preserve"> года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, но не позднее 15 ноября.</w:t>
            </w:r>
            <w:proofErr w:type="gramEnd"/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>Заявление о возмещении расходов с прилагаемыми к нему документами (копиями документов) представляется страхователем либо лицом, представляющим его интересы, на бумажном носителе либо в форме электронного документа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, подписанного усиленной квалифицированной электронной подписью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Заявление может быть представлено непосредственно в территориальный орган СФР, либо по почте, либо с использованием информационно-телекоммуникационных сетей общего пользования, в том числе информационно-телекоммуникационной сети "Интернет", включая федеральную государственную информационную систему "Единый портал государственных и муниципальных услуг (функций)" &lt;9(1)&gt;, либо через многофункциональный центр предоставления государственных и муниципальных услуг.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--------------------------------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&lt;9(1)&gt; </w:t>
            </w:r>
            <w:hyperlink r:id="rId83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Положение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о федеральной государственной информационной системе "Единый портал государственных и муниципальных услуг (функций)", утвержденное постановлением Правительства Российской Федерации от 24 октября 2011 г. N 861.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>б) копия (выписка из) локального нормативного акта о реализуемых страхователем мероприятиях по улучшению условий и охраны труда и (или) копия (выписка из) коллективного договора (соглашения по охране труда между работодателем и представительным органом работников);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t xml:space="preserve">б) копия (выписка из) локального нормативного акта о реализуемых страхователем мероприятиях по улучшению условий и охраны труда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и (или) копия (выписка из) перечня мероприятий по улучшению условий и охраны труда работников, разработанного по результатам проведения специальной оценки условий труда,</w:t>
            </w:r>
            <w:r>
              <w:rPr>
                <w:rFonts w:ascii="Arial" w:hAnsi="Arial" w:cs="Arial"/>
                <w:sz w:val="20"/>
              </w:rPr>
              <w:t xml:space="preserve"> и (или) копия (выписка из) коллективного договора (соглашения по охране труда между работодателем и представительным органом работников);</w:t>
            </w:r>
            <w:proofErr w:type="gramEnd"/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в случае включения в список членов комиссий по проверке знания требований охраны труда, работников, членов комитетов (комиссий) по </w:t>
            </w:r>
            <w:r>
              <w:rPr>
                <w:rFonts w:ascii="Arial" w:hAnsi="Arial" w:cs="Arial"/>
                <w:sz w:val="20"/>
              </w:rPr>
              <w:lastRenderedPageBreak/>
              <w:t>охране труда - копии актов работодателей об утверждении состава комитета (комиссии);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 xml:space="preserve">в случае включения в список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председателя (заместителей председателя) и</w:t>
            </w:r>
            <w:r>
              <w:rPr>
                <w:rFonts w:ascii="Arial" w:hAnsi="Arial" w:cs="Arial"/>
                <w:sz w:val="20"/>
              </w:rPr>
              <w:t xml:space="preserve"> членов комиссий по проверке знания требований охраны </w:t>
            </w:r>
            <w:r>
              <w:rPr>
                <w:rFonts w:ascii="Arial" w:hAnsi="Arial" w:cs="Arial"/>
                <w:sz w:val="20"/>
              </w:rPr>
              <w:lastRenderedPageBreak/>
              <w:t>труда, работников, членов комитетов (комиссий) по охране труда - копии актов работодателей об утверждении состава комитета (комиссии);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sz w:val="20"/>
              </w:rPr>
              <w:lastRenderedPageBreak/>
              <w:t> </w:t>
            </w:r>
            <w:r>
              <w:rPr>
                <w:rFonts w:ascii="Arial" w:hAnsi="Arial" w:cs="Arial"/>
                <w:sz w:val="20"/>
              </w:rPr>
              <w:br/>
              <w:t>&lt;фрагмент не существовал&gt;</w:t>
            </w:r>
            <w:r>
              <w:rPr>
                <w:rFonts w:ascii="Arial" w:hAnsi="Arial" w:cs="Arial"/>
                <w:sz w:val="20"/>
              </w:rPr>
              <w:br/>
              <w:t> 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в случае включения в список лиц, обязанных оказывать первую помощь пострадавшим, - копию локального нормативного акта страхователя, определяющего отнесение лиц к указанной категории;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в случае включения в список работников, к трудовым функциям которых отнесено управление автотранспортным средством, - копию локального нормативного акта страхователя, определяющего отнесение работников к указанной категории;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в случае включения в список работников, к компетенциям которых предъявляются требования уметь оказывать первую помощь пострадавшим, - копию локального нормативного акта страхователя, определяющего отнесение работников к указанной категории;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в случае включения в список работников, применяющих средства индивидуальной защиты, применение которых требует практических навыков, - копию локального нормативного акта страхователя, утверждающего перечень средств индивидуальной защиты, применение которых требует от работников практических навыков в зависимости от степени риска причинения вреда работнику;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sz w:val="20"/>
              </w:rPr>
              <w:br/>
              <w:t>&lt;фрагмент не существовал&gt;</w:t>
            </w:r>
            <w:r>
              <w:rPr>
                <w:rFonts w:ascii="Arial" w:hAnsi="Arial" w:cs="Arial"/>
                <w:sz w:val="20"/>
              </w:rPr>
              <w:br/>
              <w:t> 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в случае приобретения работникам </w:t>
            </w: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>СИЗ</w:t>
            </w:r>
            <w:proofErr w:type="gramEnd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и смывающих средств: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t>копию действующего на день приобретения СИЗ заключения о подтверждении производства промышленной продукции на территории Российской Федерации, или номер реестровой записи в реестре российской промышленной продукции, или выписку из евразийского реестра промышленных товаров государств - членов Евразийского экономического союза &lt;13&gt; - для СИЗ, изготовленных на территории Российской Федерации;</w:t>
            </w:r>
            <w:proofErr w:type="gramEnd"/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t xml:space="preserve">копию действующего на день приобретения СИЗ заключения о подтверждении производства промышленной продукции на территории Российской Федерации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в соответствии с </w:t>
            </w:r>
            <w:hyperlink r:id="rId84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пунктом 2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постановления Правительства Российской Федерации от 29 июня 2024 г. N 894 "О внесении изменений в некоторые акты Правительства Российской Федерации"</w:t>
            </w:r>
            <w:r>
              <w:rPr>
                <w:rFonts w:ascii="Arial" w:hAnsi="Arial" w:cs="Arial"/>
                <w:sz w:val="20"/>
              </w:rPr>
              <w:t>, или номер реестровой записи в реестре российской промышленной продукции, или выписку из евразийского реестра промышленных товаров государств - членов Евразийского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экономического союза &lt;13&gt; - для </w:t>
            </w:r>
            <w:proofErr w:type="gramStart"/>
            <w:r>
              <w:rPr>
                <w:rFonts w:ascii="Arial" w:hAnsi="Arial" w:cs="Arial"/>
                <w:sz w:val="20"/>
              </w:rPr>
              <w:t>СИЗ</w:t>
            </w:r>
            <w:proofErr w:type="gramEnd"/>
            <w:r>
              <w:rPr>
                <w:rFonts w:ascii="Arial" w:hAnsi="Arial" w:cs="Arial"/>
                <w:sz w:val="20"/>
              </w:rPr>
              <w:t>, изготовленных на территории Российской Федерации;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sz w:val="20"/>
              </w:rPr>
              <w:br/>
              <w:t>&lt;фрагмент не существовал&gt;</w:t>
            </w:r>
            <w:r>
              <w:rPr>
                <w:rFonts w:ascii="Arial" w:hAnsi="Arial" w:cs="Arial"/>
                <w:sz w:val="20"/>
              </w:rPr>
              <w:br/>
            </w:r>
            <w:r>
              <w:rPr>
                <w:rFonts w:ascii="Arial" w:hAnsi="Arial" w:cs="Arial"/>
                <w:sz w:val="20"/>
              </w:rPr>
              <w:lastRenderedPageBreak/>
              <w:t> 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lastRenderedPageBreak/>
              <w:t xml:space="preserve">в случае приобретения автоматизированных систем выдачи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lastRenderedPageBreak/>
              <w:t xml:space="preserve">(вендингового оборудования) и дозаторов для выдачи </w:t>
            </w: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>СИЗ</w:t>
            </w:r>
            <w:proofErr w:type="gramEnd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и смывающих средств: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перечень приобретаемого оборудования с указанием количества и стоимости;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копию договора на приобретение соответствующего оборудования;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копии документов, обосновывающих приобретение страхователем автоматизированных систем выдачи (вендингового оборудования) и дозаторов для выдачи </w:t>
            </w: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>СИЗ</w:t>
            </w:r>
            <w:proofErr w:type="gramEnd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и смывающих средств и их количества;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техническую и (или) эксплуатационную документацию, подтверждающую использование указанного оборудования непосредственно для выдачи </w:t>
            </w: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>СИЗ</w:t>
            </w:r>
            <w:proofErr w:type="gramEnd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и смывающих средств;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sz w:val="20"/>
              </w:rPr>
              <w:lastRenderedPageBreak/>
              <w:t> </w:t>
            </w:r>
            <w:r>
              <w:rPr>
                <w:rFonts w:ascii="Arial" w:hAnsi="Arial" w:cs="Arial"/>
                <w:sz w:val="20"/>
              </w:rPr>
              <w:br/>
              <w:t>&lt;фрагмент не существовал&gt;</w:t>
            </w:r>
            <w:r>
              <w:rPr>
                <w:rFonts w:ascii="Arial" w:hAnsi="Arial" w:cs="Arial"/>
                <w:sz w:val="20"/>
              </w:rPr>
              <w:br/>
              <w:t> 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Максимальная сумма возмещения стоимости одной путевки определяется исходя из стоимости одного койко-дня в размере 14 230,41 рублей.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Стоимость одного койко-дня подлежит индексации один раз в год с 1 февраля текущего года исходя из индекса роста потребительских цен за предыдущий год на </w:t>
            </w:r>
            <w:hyperlink r:id="rId85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коэффициент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индексации, определенный в соответствии с </w:t>
            </w:r>
            <w:hyperlink r:id="rId86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пунктом 13 статьи 12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Федерального закона от 24 июля 1998 г. N 125-ФЗ "Об обязательном социальном страховании от несчастных случаев на производстве и профессиональных заболеваний" для индексации ежемесячной страховой выплаты</w:t>
            </w:r>
            <w:proofErr w:type="gramEnd"/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по обязательному социальному страхованию от несчастных случаев на производстве и профессиональных заболеваний;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копию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утвержденного</w:t>
            </w:r>
            <w:r>
              <w:rPr>
                <w:rFonts w:ascii="Arial" w:hAnsi="Arial" w:cs="Arial"/>
                <w:sz w:val="20"/>
              </w:rPr>
              <w:t xml:space="preserve"> списка работников, прошедших обязательные периодические медицинские осмотры (обследования) в текущем календарном году &lt;15&gt;;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>копию списка работников, прошедших обязательные периодические медицинские осмотры (обследования) в текущем календарном году &lt;15&gt;;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>перечень приобретенных медицинских изделий для количественного определения алкоголя в выдыхаемом воздухе, а также определения наличия психоактивных веществ в моче с указанием их количества и стоимости, номера регистрационного удостоверения;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перечень приобретенных медицинских изделий для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измерения артериального давления и пульса,</w:t>
            </w:r>
            <w:r>
              <w:rPr>
                <w:rFonts w:ascii="Arial" w:hAnsi="Arial" w:cs="Arial"/>
                <w:sz w:val="20"/>
              </w:rPr>
              <w:t xml:space="preserve"> количественного определения алкоголя в выдыхаемом воздухе, а также определения наличия психоактивных веществ в моче с указанием их количества и стоимости, номера регистрационного удостоверения;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lastRenderedPageBreak/>
              <w:t>перечень оборудования, обеспечивающего автоматизированное дистанционное проведение обязательных предсменных (послесменных) и (или) предрейсовых (послерейсовых) медицинских осмотров, с указанием их количества и стоимости, номера регистрационного удостоверения;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>перечень транспортных средств (далее - ТС), оснащенных тахографами, с указанием их государственного регистрационного номера, даты выпуска, сведений о прохождении ТС последнего технического осмотра;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перечень транспортных средств (далее - ТС), оснащенных тахографами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и (или) тахографами, с замененным программно-аппаратным шифровальным (криптографическим) средством</w:t>
            </w:r>
            <w:r>
              <w:rPr>
                <w:rFonts w:ascii="Arial" w:hAnsi="Arial" w:cs="Arial"/>
                <w:sz w:val="20"/>
              </w:rPr>
              <w:t>, с указанием их государственного регистрационного номера, даты выпуска, сведений о прохождении ТС последнего технического осмотра;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t xml:space="preserve">к) в случае использования страхователем средств на финансовое обеспечение предупредительных мер, предусмотренных </w:t>
            </w:r>
            <w:hyperlink r:id="rId87">
              <w:r>
                <w:rPr>
                  <w:rFonts w:ascii="Arial" w:hAnsi="Arial" w:cs="Arial"/>
                  <w:color w:val="0000FF"/>
                  <w:sz w:val="20"/>
                </w:rPr>
                <w:t>подпунктом "к" пункта 2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- перечень приобретенных медицинских изделий &lt;16&gt; с указанием количества и стоимости приобретенных медицинских изделий, а также с указанием постов для оказания первой помощи, укомплектованных аптечками для оказания первой помощи;</w:t>
            </w:r>
            <w:proofErr w:type="gramEnd"/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документы, обосновывающие замену программно-аппаратных шифровальных (криптографических) средств;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t xml:space="preserve">к) в случае использования страхователем средств на финансовое обеспечение предупредительных мер, предусмотренных </w:t>
            </w:r>
            <w:hyperlink r:id="rId88">
              <w:r>
                <w:rPr>
                  <w:rFonts w:ascii="Arial" w:hAnsi="Arial" w:cs="Arial"/>
                  <w:color w:val="0000FF"/>
                  <w:sz w:val="20"/>
                </w:rPr>
                <w:t>подпунктом "к" пункта 2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- перечень приобретенных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медицинских изделий и (или) комплектующих к ним</w:t>
            </w:r>
            <w:r>
              <w:rPr>
                <w:rFonts w:ascii="Arial" w:hAnsi="Arial" w:cs="Arial"/>
                <w:sz w:val="20"/>
              </w:rPr>
              <w:t xml:space="preserve"> медицинских изделий &lt;16&gt; с указанием количества и стоимости приобретенных медицинских изделий, а также с указанием постов для оказания первой помощи, укомплектованных аптечками для оказания первой помощи;</w:t>
            </w:r>
            <w:proofErr w:type="gramEnd"/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t>копии документов, обосновывающих приобретение страхователем соответствующих приборов, устройств, оборудования, в том числе компьютерных тренажеров, программного обеспечения, видеофильмов и (или) комплексов (систем) приборов, устройств, оборудования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;</w:t>
            </w:r>
            <w:proofErr w:type="gramEnd"/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t>копии (выписки из) технических проектов и (или) проектной документации, которыми предусмотрено приобретение страхователем соответствующих приборов, устройств, оборудования, в том числе компьютерных тренажеров, программного обеспечения, видеофильмов и (или) комплексов (систем) приборов, устройств, оборудования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;</w:t>
            </w:r>
            <w:proofErr w:type="gramEnd"/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t xml:space="preserve">копии документов, обосновывающих приобретение страхователем соответствующих приборов, устройств, оборудования, в том числе компьютерных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тренажеров, манекенов-</w:t>
            </w:r>
            <w:r>
              <w:rPr>
                <w:rFonts w:ascii="Arial" w:hAnsi="Arial" w:cs="Arial"/>
                <w:sz w:val="20"/>
              </w:rPr>
              <w:t>тренажеров, программного обеспечения, видеофильмов и (или) комплексов (систем) приборов, устройств, оборудования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, в том числе обеспечивающих дистанционный контроль, видео-, аудио или иную фиксацию, а также обучение практическим навыкам оказания первой помощи пострадавшим;</w:t>
            </w:r>
            <w:proofErr w:type="gramEnd"/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t xml:space="preserve">копии (выписки из) технических проектов и (или) проектной документации, которыми предусмотрено приобретение страхователем соответствующих приборов, устройств, оборудования, в том числе компьютерных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тренажеров, манекенов-</w:t>
            </w:r>
            <w:r>
              <w:rPr>
                <w:rFonts w:ascii="Arial" w:hAnsi="Arial" w:cs="Arial"/>
                <w:sz w:val="20"/>
              </w:rPr>
              <w:t>тренажеров, программного обеспечения, видеофильмов и (или) комплексов (систем) приборов, устройств, оборудования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, в том числе обеспечивающих дистанционный контроль, видео-, аудио или иную фиксацию, а также обучение практическим навыкам оказания первой помощи пострадавшим;</w:t>
            </w:r>
            <w:proofErr w:type="gramEnd"/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sz w:val="20"/>
              </w:rPr>
              <w:lastRenderedPageBreak/>
              <w:t> </w:t>
            </w:r>
            <w:r>
              <w:rPr>
                <w:rFonts w:ascii="Arial" w:hAnsi="Arial" w:cs="Arial"/>
                <w:sz w:val="20"/>
              </w:rPr>
              <w:br/>
              <w:t>&lt;фрагмент не существовал&gt;</w:t>
            </w:r>
            <w:r>
              <w:rPr>
                <w:rFonts w:ascii="Arial" w:hAnsi="Arial" w:cs="Arial"/>
                <w:sz w:val="20"/>
              </w:rPr>
              <w:br/>
              <w:t> 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>в случае приобретения отдельных приборов, устройств, оборудования и (или) комплексов (систем) приборов, устройств, оборудования, сервисов, систем, непосредственно предназначенных для мониторинга на рабочем месте состояния здоровья работников, занятых на работах с вредными и (или) опасными производственными факторами:</w:t>
            </w:r>
            <w:proofErr w:type="gramEnd"/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jc w:val="center"/>
            </w:pPr>
            <w:r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sz w:val="20"/>
              </w:rPr>
              <w:br/>
              <w:t>&lt;фрагмент не существовал&gt;</w:t>
            </w:r>
            <w:r>
              <w:rPr>
                <w:rFonts w:ascii="Arial" w:hAnsi="Arial" w:cs="Arial"/>
                <w:sz w:val="20"/>
              </w:rPr>
              <w:br/>
              <w:t> 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в случае приобретения приборов, оборудования для оснащения медицинского пункта (здравпункта, кабинета) страхователя: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локальный нормативный акт по созданию медицинского пункта (здравпункта, кабинета) и (или) утверждению положения медицинского пункта (здравпункта, кабинета);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перечень приобретаемого оборудования с указанием количества, стоимости и номеров регистрационных удостоверений;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копию договора на приобретение соответствующего оборудования;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копии документов, обосновывающих приобретение страхователем оборудования и их количество;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  <w:shd w:val="clear" w:color="auto" w:fill="C0C0C0"/>
              </w:rPr>
              <w:t>техническую документацию, подтверждающую использование указанного оборудования;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копию договора с организацией,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проводившей</w:t>
            </w:r>
            <w:r>
              <w:rPr>
                <w:rFonts w:ascii="Arial" w:hAnsi="Arial" w:cs="Arial"/>
                <w:sz w:val="20"/>
              </w:rPr>
              <w:t xml:space="preserve"> оценку профессиональных рисков, с указанием количества рабочих мест, в отношении которых проведена оценка профессиональных рисков, и стоимости проведения оценки профессиональных рисков на указанном количестве рабочих мест;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копию договора с организацией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или индивидуальным предпринимателем</w:t>
            </w:r>
            <w:r>
              <w:rPr>
                <w:rFonts w:ascii="Arial" w:hAnsi="Arial" w:cs="Arial"/>
                <w:sz w:val="20"/>
              </w:rPr>
              <w:t xml:space="preserve">, </w:t>
            </w:r>
            <w:proofErr w:type="gramStart"/>
            <w:r>
              <w:rPr>
                <w:rFonts w:ascii="Arial" w:hAnsi="Arial" w:cs="Arial"/>
                <w:sz w:val="20"/>
                <w:shd w:val="clear" w:color="auto" w:fill="C0C0C0"/>
              </w:rPr>
              <w:t>проводившими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оценку профессиональных рисков, с указанием количества рабочих мест, в отношении которых проведена оценка профессиональных рисков, и стоимости проведения оценки профессиональных рисков на указанном количестве рабочих мест;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12. В рамках межведомственного взаимодействия для обоснования произведенных расходов на финансовое обеспечение предупредительных мер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</w:t>
            </w:r>
            <w:r>
              <w:rPr>
                <w:rFonts w:ascii="Arial" w:hAnsi="Arial" w:cs="Arial"/>
                <w:sz w:val="20"/>
              </w:rPr>
              <w:t xml:space="preserve"> СФР запрашивает посредством межведомственного запроса: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12. В рамках межведомственного взаимодействия для обоснования произведенных расходов на финансовое обеспечение предупредительных мер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территориальный орган</w:t>
            </w:r>
            <w:r>
              <w:rPr>
                <w:rFonts w:ascii="Arial" w:hAnsi="Arial" w:cs="Arial"/>
                <w:sz w:val="20"/>
              </w:rPr>
              <w:t xml:space="preserve"> СФР запрашивает посредством межведомственного запроса: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сведения о включении организации,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проводящей</w:t>
            </w:r>
            <w:r>
              <w:rPr>
                <w:rFonts w:ascii="Arial" w:hAnsi="Arial" w:cs="Arial"/>
                <w:sz w:val="20"/>
              </w:rPr>
              <w:t xml:space="preserve"> оценку профессиональных рисков, в реестр организаций, оказывающих услуги в области охраны труда, - в случае использования страхователем средств на финансовое обеспечение предупредительных мер, предусмотренных </w:t>
            </w:r>
            <w:hyperlink r:id="rId89">
              <w:r>
                <w:rPr>
                  <w:rFonts w:ascii="Arial" w:hAnsi="Arial" w:cs="Arial"/>
                  <w:color w:val="0000FF"/>
                  <w:sz w:val="20"/>
                </w:rPr>
                <w:t>подпунктом "с" пункта 2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сведения о включении организации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или индивидуального предпринимателя</w:t>
            </w:r>
            <w:r>
              <w:rPr>
                <w:rFonts w:ascii="Arial" w:hAnsi="Arial" w:cs="Arial"/>
                <w:sz w:val="20"/>
              </w:rPr>
              <w:t xml:space="preserve">,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проводящих</w:t>
            </w:r>
            <w:r>
              <w:rPr>
                <w:rFonts w:ascii="Arial" w:hAnsi="Arial" w:cs="Arial"/>
                <w:sz w:val="20"/>
              </w:rPr>
              <w:t xml:space="preserve"> оценку профессиональных рисков, в реестр организаций, оказывающих услуги в области охраны труда, - в случае использования страхователем средств на финансовое обеспечение предупредительных мер, предусмотренных </w:t>
            </w:r>
            <w:hyperlink r:id="rId90">
              <w:r>
                <w:rPr>
                  <w:rFonts w:ascii="Arial" w:hAnsi="Arial" w:cs="Arial"/>
                  <w:color w:val="0000FF"/>
                  <w:sz w:val="20"/>
                </w:rPr>
                <w:t>подпунктом "с" пункта 2</w:t>
              </w:r>
            </w:hyperlink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lastRenderedPageBreak/>
              <w:t>настоящих Правил;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lastRenderedPageBreak/>
              <w:t xml:space="preserve">Сведения о лицензии на осуществление страхователем пассажирских и (или) грузовых перевозок и (или) сведения, подтверждающие соответствующий вид экономической деятельности страхователя, которые входят в состав сведений, содержащихся в Едином государственном реестре юридических лиц (ЕГРЮЛ) &lt;25&gt;, в случае использования страхователем средств на финансовое обеспечение предупредительных мер, предусмотренных </w:t>
            </w:r>
            <w:hyperlink r:id="rId91">
              <w:r>
                <w:rPr>
                  <w:rFonts w:ascii="Arial" w:hAnsi="Arial" w:cs="Arial"/>
                  <w:color w:val="0000FF"/>
                  <w:sz w:val="20"/>
                </w:rPr>
                <w:t>подпунктом "и" пункта 2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ежедневно поступают в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</w:t>
            </w:r>
            <w:r>
              <w:rPr>
                <w:rFonts w:ascii="Arial" w:hAnsi="Arial" w:cs="Arial"/>
                <w:sz w:val="20"/>
              </w:rPr>
              <w:t xml:space="preserve"> СФР в рамках системы "одного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окна" &lt;26&gt; из территориального органа Федеральной налоговой службы.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t xml:space="preserve">Сведения о лицензии на осуществление страхователем пассажирских и (или) грузовых перевозок и (или) сведения, подтверждающие соответствующий вид экономической деятельности страхователя, которые входят в состав сведений, содержащихся в Едином государственном реестре юридических лиц (ЕГРЮЛ) &lt;25&gt;, в случае использования страхователем средств на финансовое обеспечение предупредительных мер, предусмотренных </w:t>
            </w:r>
            <w:hyperlink r:id="rId92">
              <w:r>
                <w:rPr>
                  <w:rFonts w:ascii="Arial" w:hAnsi="Arial" w:cs="Arial"/>
                  <w:color w:val="0000FF"/>
                  <w:sz w:val="20"/>
                </w:rPr>
                <w:t>подпунктом "и" пункта 2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ежедневно поступают в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территориальный орган</w:t>
            </w:r>
            <w:r>
              <w:rPr>
                <w:rFonts w:ascii="Arial" w:hAnsi="Arial" w:cs="Arial"/>
                <w:sz w:val="20"/>
              </w:rPr>
              <w:t xml:space="preserve"> СФР в рамках системы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"одного окна" &lt;26&gt; из территориального органа Федеральной налоговой службы.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Страхователь вправе представить самостоятельно в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</w:t>
            </w:r>
            <w:r>
              <w:rPr>
                <w:rFonts w:ascii="Arial" w:hAnsi="Arial" w:cs="Arial"/>
                <w:sz w:val="20"/>
              </w:rPr>
              <w:t xml:space="preserve"> СФР документы (копии документов), сведения о которых могут быть запрошены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отделением</w:t>
            </w:r>
            <w:r>
              <w:rPr>
                <w:rFonts w:ascii="Arial" w:hAnsi="Arial" w:cs="Arial"/>
                <w:sz w:val="20"/>
              </w:rPr>
              <w:t xml:space="preserve"> СФР в рамках межведомственного взаимодействия в соответствии с настоящим пунктом.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13. Для обоснования финансового обеспечения мероприятия, предусмотренного </w:t>
            </w:r>
            <w:hyperlink r:id="rId93">
              <w:r>
                <w:rPr>
                  <w:rFonts w:ascii="Arial" w:hAnsi="Arial" w:cs="Arial"/>
                  <w:color w:val="0000FF"/>
                  <w:sz w:val="20"/>
                </w:rPr>
                <w:t>подпунктом "н" пункта 2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</w:t>
            </w:r>
            <w:r>
              <w:rPr>
                <w:rFonts w:ascii="Arial" w:hAnsi="Arial" w:cs="Arial"/>
                <w:sz w:val="20"/>
              </w:rPr>
              <w:t xml:space="preserve"> СФР использует сведения об отнесении работника к категории лиц предпенсионного возраста, сведения о факте получения пенсии, а также сведения о страховом номере индивидуального лицевого счета застрахованного лица, находящиеся в распоряжении СФР.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Страхователь вправе представить самостоятельно в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территориальный орган</w:t>
            </w:r>
            <w:r>
              <w:rPr>
                <w:rFonts w:ascii="Arial" w:hAnsi="Arial" w:cs="Arial"/>
                <w:sz w:val="20"/>
              </w:rPr>
              <w:t xml:space="preserve"> СФР документы (копии документов), сведения о которых могут быть запрошены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территориальным органом</w:t>
            </w:r>
            <w:r>
              <w:rPr>
                <w:rFonts w:ascii="Arial" w:hAnsi="Arial" w:cs="Arial"/>
                <w:sz w:val="20"/>
              </w:rPr>
              <w:t xml:space="preserve"> СФР в рамках межведомственного взаимодействия в соответствии с настоящим пунктом.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13. Для обоснования финансового обеспечения мероприятия, предусмотренного </w:t>
            </w:r>
            <w:hyperlink r:id="rId94">
              <w:r>
                <w:rPr>
                  <w:rFonts w:ascii="Arial" w:hAnsi="Arial" w:cs="Arial"/>
                  <w:color w:val="0000FF"/>
                  <w:sz w:val="20"/>
                </w:rPr>
                <w:t>подпунктом "н" пункта 2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территориальный орган</w:t>
            </w:r>
            <w:r>
              <w:rPr>
                <w:rFonts w:ascii="Arial" w:hAnsi="Arial" w:cs="Arial"/>
                <w:sz w:val="20"/>
              </w:rPr>
              <w:t xml:space="preserve"> СФР использует сведения об отнесении работника к категории лиц предпенсионного возраста, сведения о факте получения пенсии, а также сведения о страховом номере индивидуального лицевого счета застрахованного лица, находящиеся в распоряжении СФР.</w:t>
            </w:r>
          </w:p>
        </w:tc>
      </w:tr>
      <w:tr w:rsidR="00144643">
        <w:tblPrEx>
          <w:tblBorders>
            <w:top w:val="nil"/>
            <w:bottom w:val="dashed" w:sz="8" w:space="0" w:color="auto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15. Решение о возмещении расходов и перечислении средств на расчетный счет страхователя или об отказе в возмещении расходов принимается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отделением</w:t>
            </w:r>
            <w:r>
              <w:rPr>
                <w:rFonts w:ascii="Arial" w:hAnsi="Arial" w:cs="Arial"/>
                <w:sz w:val="20"/>
              </w:rPr>
              <w:t xml:space="preserve"> СФР в течение 15 рабочих дней со дня получения заявления о возмещении расходов и полного комплекта документов, указанных в </w:t>
            </w:r>
            <w:hyperlink r:id="rId95">
              <w:r>
                <w:rPr>
                  <w:rFonts w:ascii="Arial" w:hAnsi="Arial" w:cs="Arial"/>
                  <w:color w:val="0000FF"/>
                  <w:sz w:val="20"/>
                </w:rPr>
                <w:t>пунктах 10</w:t>
              </w:r>
            </w:hyperlink>
            <w:r>
              <w:rPr>
                <w:rFonts w:ascii="Arial" w:hAnsi="Arial" w:cs="Arial"/>
                <w:sz w:val="20"/>
              </w:rPr>
              <w:t xml:space="preserve"> - </w:t>
            </w:r>
            <w:hyperlink r:id="rId96">
              <w:r>
                <w:rPr>
                  <w:rFonts w:ascii="Arial" w:hAnsi="Arial" w:cs="Arial"/>
                  <w:color w:val="0000FF"/>
                  <w:sz w:val="20"/>
                </w:rPr>
                <w:t>13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t xml:space="preserve">В случае если оплата расходов страхователя на предупредительные меры согласно договорам на приобретение (выполнение) товаров (работ, услуг) должна быть произведена в текущем финансовом году, но позже срока подачи заявления о возмещении расходов, установленного </w:t>
            </w:r>
            <w:hyperlink r:id="rId97">
              <w:r>
                <w:rPr>
                  <w:rFonts w:ascii="Arial" w:hAnsi="Arial" w:cs="Arial"/>
                  <w:color w:val="0000FF"/>
                  <w:sz w:val="20"/>
                </w:rPr>
                <w:t>пунктом 9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решение о возмещении расходов принимается после предоставления страхователем платежных документов и документов, подтверждающих расходы,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но</w:t>
            </w:r>
            <w:r>
              <w:rPr>
                <w:rFonts w:ascii="Arial" w:hAnsi="Arial" w:cs="Arial"/>
                <w:sz w:val="20"/>
              </w:rPr>
              <w:t xml:space="preserve"> не позднее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15</w:t>
            </w:r>
            <w:r>
              <w:rPr>
                <w:rFonts w:ascii="Arial" w:hAnsi="Arial" w:cs="Arial"/>
                <w:sz w:val="20"/>
              </w:rPr>
              <w:t xml:space="preserve"> декабря текущего календарного года.</w:t>
            </w:r>
            <w:proofErr w:type="gramEnd"/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 xml:space="preserve">16.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Решение о возмещении расходов и перечислении средств на расчетный счет страхователя или об отказе в возмещении расходов оформляется решением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отделения</w:t>
            </w:r>
            <w:r>
              <w:rPr>
                <w:rFonts w:ascii="Arial" w:hAnsi="Arial" w:cs="Arial"/>
                <w:sz w:val="20"/>
              </w:rPr>
              <w:t xml:space="preserve"> СФР и в течение 3 рабочих дней со дня его подписания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,</w:t>
            </w:r>
            <w:r>
              <w:rPr>
                <w:rFonts w:ascii="Arial" w:hAnsi="Arial" w:cs="Arial"/>
                <w:sz w:val="20"/>
              </w:rPr>
              <w:t xml:space="preserve"> направляется страхователю и размещается в личном кабинете страхователя на сайте СФР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в информационно-телекоммуникационной сети "Интернет"</w:t>
            </w:r>
            <w:r>
              <w:rPr>
                <w:rFonts w:ascii="Arial" w:hAnsi="Arial" w:cs="Arial"/>
                <w:sz w:val="20"/>
              </w:rPr>
              <w:t xml:space="preserve"> (при наличии технической возможности) (в случае принятия решения об отказе в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финансовом обеспечении предупредительных</w:t>
            </w:r>
            <w:proofErr w:type="gramEnd"/>
            <w:r>
              <w:rPr>
                <w:rFonts w:ascii="Arial" w:hAnsi="Arial" w:cs="Arial"/>
                <w:strike/>
                <w:color w:val="FF0000"/>
                <w:sz w:val="20"/>
              </w:rPr>
              <w:t xml:space="preserve"> мер</w:t>
            </w:r>
            <w:r>
              <w:rPr>
                <w:rFonts w:ascii="Arial" w:hAnsi="Arial" w:cs="Arial"/>
                <w:sz w:val="20"/>
              </w:rPr>
              <w:t xml:space="preserve"> - с обоснованием причин отказа).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17.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</w:t>
            </w:r>
            <w:r>
              <w:rPr>
                <w:rFonts w:ascii="Arial" w:hAnsi="Arial" w:cs="Arial"/>
                <w:sz w:val="20"/>
              </w:rPr>
              <w:t xml:space="preserve"> СФР принимает решение об отказе в возмещении расходов предупредительных мер в следующих случаях: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а) представленные страхователем документы, предусмотренные </w:t>
            </w:r>
            <w:hyperlink r:id="rId98">
              <w:r>
                <w:rPr>
                  <w:rFonts w:ascii="Arial" w:hAnsi="Arial" w:cs="Arial"/>
                  <w:color w:val="0000FF"/>
                  <w:sz w:val="20"/>
                </w:rPr>
                <w:t>пунктами 9</w:t>
              </w:r>
            </w:hyperlink>
            <w:r>
              <w:rPr>
                <w:rFonts w:ascii="Arial" w:hAnsi="Arial" w:cs="Arial"/>
                <w:sz w:val="20"/>
              </w:rPr>
              <w:t xml:space="preserve"> - </w:t>
            </w:r>
            <w:hyperlink r:id="rId99">
              <w:r>
                <w:rPr>
                  <w:rFonts w:ascii="Arial" w:hAnsi="Arial" w:cs="Arial"/>
                  <w:color w:val="0000FF"/>
                  <w:sz w:val="20"/>
                </w:rPr>
                <w:t>12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содержат недостоверную информацию;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б) документы,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предусмотренные</w:t>
            </w:r>
            <w:r>
              <w:rPr>
                <w:rFonts w:ascii="Arial" w:hAnsi="Arial" w:cs="Arial"/>
                <w:sz w:val="20"/>
              </w:rPr>
              <w:t xml:space="preserve"> </w:t>
            </w:r>
            <w:hyperlink r:id="rId100">
              <w:r>
                <w:rPr>
                  <w:rFonts w:ascii="Arial" w:hAnsi="Arial" w:cs="Arial"/>
                  <w:color w:val="0000FF"/>
                  <w:sz w:val="20"/>
                </w:rPr>
                <w:t>пунктами 9</w:t>
              </w:r>
            </w:hyperlink>
            <w:r>
              <w:rPr>
                <w:rFonts w:ascii="Arial" w:hAnsi="Arial" w:cs="Arial"/>
                <w:sz w:val="20"/>
              </w:rPr>
              <w:t xml:space="preserve"> - </w:t>
            </w:r>
            <w:hyperlink r:id="rId101">
              <w:r>
                <w:rPr>
                  <w:rFonts w:ascii="Arial" w:hAnsi="Arial" w:cs="Arial"/>
                  <w:color w:val="0000FF"/>
                  <w:sz w:val="20"/>
                </w:rPr>
                <w:t>11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представлены страхователем не в полном объеме.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 xml:space="preserve">15. Решение о возмещении расходов и перечислении средств на расчетный счет страхователя или об отказе в возмещении расходов принимается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территориальным органом</w:t>
            </w:r>
            <w:r>
              <w:rPr>
                <w:rFonts w:ascii="Arial" w:hAnsi="Arial" w:cs="Arial"/>
                <w:sz w:val="20"/>
              </w:rPr>
              <w:t xml:space="preserve"> СФР в течение 15 рабочих дней со дня получения заявления о возмещении расходов и полного комплекта документов, указанных в </w:t>
            </w:r>
            <w:hyperlink r:id="rId102">
              <w:r>
                <w:rPr>
                  <w:rFonts w:ascii="Arial" w:hAnsi="Arial" w:cs="Arial"/>
                  <w:color w:val="0000FF"/>
                  <w:sz w:val="20"/>
                </w:rPr>
                <w:t>пунктах 10</w:t>
              </w:r>
            </w:hyperlink>
            <w:r>
              <w:rPr>
                <w:rFonts w:ascii="Arial" w:hAnsi="Arial" w:cs="Arial"/>
                <w:sz w:val="20"/>
              </w:rPr>
              <w:t xml:space="preserve"> - </w:t>
            </w:r>
            <w:hyperlink r:id="rId103">
              <w:r>
                <w:rPr>
                  <w:rFonts w:ascii="Arial" w:hAnsi="Arial" w:cs="Arial"/>
                  <w:color w:val="0000FF"/>
                  <w:sz w:val="20"/>
                </w:rPr>
                <w:t>13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proofErr w:type="gramStart"/>
            <w:r>
              <w:rPr>
                <w:rFonts w:ascii="Arial" w:hAnsi="Arial" w:cs="Arial"/>
                <w:sz w:val="20"/>
              </w:rPr>
              <w:t xml:space="preserve">В случае если оплата расходов страхователя на предупредительные меры согласно договорам на приобретение (выполнение) товаров (работ, услуг) должна быть произведена в текущем финансовом году, но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позже срока подачи заявления о возмещении расходов, установленного </w:t>
            </w:r>
            <w:hyperlink r:id="rId104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пунктом 9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 настоящих Правил, либо в случае получения страхователем документов, подтверждающих произведенные расходы,</w:t>
            </w:r>
            <w:r>
              <w:rPr>
                <w:rFonts w:ascii="Arial" w:hAnsi="Arial" w:cs="Arial"/>
                <w:sz w:val="20"/>
              </w:rPr>
              <w:t xml:space="preserve"> позже срока подачи заявления о возмещении расходов, установленного </w:t>
            </w:r>
            <w:hyperlink r:id="rId105">
              <w:r>
                <w:rPr>
                  <w:rFonts w:ascii="Arial" w:hAnsi="Arial" w:cs="Arial"/>
                  <w:color w:val="0000FF"/>
                  <w:sz w:val="20"/>
                </w:rPr>
                <w:t>пунктом 9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решение о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возмещении расходов принимается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территориальным органом СФР до конца текущего финансового года</w:t>
            </w:r>
            <w:r>
              <w:rPr>
                <w:rFonts w:ascii="Arial" w:hAnsi="Arial" w:cs="Arial"/>
                <w:sz w:val="20"/>
              </w:rPr>
              <w:t xml:space="preserve"> после предоставления </w:t>
            </w:r>
            <w:r>
              <w:rPr>
                <w:rFonts w:ascii="Arial" w:hAnsi="Arial" w:cs="Arial"/>
                <w:sz w:val="20"/>
              </w:rPr>
              <w:lastRenderedPageBreak/>
              <w:t xml:space="preserve">страхователем платежных документов и документов, подтверждающих расходы,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представляемых</w:t>
            </w:r>
            <w:r>
              <w:rPr>
                <w:rFonts w:ascii="Arial" w:hAnsi="Arial" w:cs="Arial"/>
                <w:sz w:val="20"/>
              </w:rPr>
              <w:t xml:space="preserve"> не позднее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20</w:t>
            </w:r>
            <w:r>
              <w:rPr>
                <w:rFonts w:ascii="Arial" w:hAnsi="Arial" w:cs="Arial"/>
                <w:sz w:val="20"/>
              </w:rPr>
              <w:t xml:space="preserve"> декабря текущего календарного года.</w:t>
            </w:r>
            <w:proofErr w:type="gramEnd"/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16.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Решение о возмещении расходов и перечислении средств на расчетный счет страхователя или об отказе в возмещении расходов оформляется решением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территориального органа</w:t>
            </w:r>
            <w:r>
              <w:rPr>
                <w:rFonts w:ascii="Arial" w:hAnsi="Arial" w:cs="Arial"/>
                <w:sz w:val="20"/>
              </w:rPr>
              <w:t xml:space="preserve"> СФР и в течение 3 рабочих дней со дня его подписания направляется страхователю и размещается в личном кабинете страхователя на сайте СФР (при наличии технической возможности) (в случае принятия решения об отказе в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возмещении расходов</w:t>
            </w:r>
            <w:r>
              <w:rPr>
                <w:rFonts w:ascii="Arial" w:hAnsi="Arial" w:cs="Arial"/>
                <w:sz w:val="20"/>
              </w:rPr>
              <w:t xml:space="preserve"> - с обоснованием причин отказа</w:t>
            </w:r>
            <w:proofErr w:type="gramEnd"/>
            <w:r>
              <w:rPr>
                <w:rFonts w:ascii="Arial" w:hAnsi="Arial" w:cs="Arial"/>
                <w:sz w:val="20"/>
              </w:rPr>
              <w:t>).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17.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Территориальный орган</w:t>
            </w:r>
            <w:r>
              <w:rPr>
                <w:rFonts w:ascii="Arial" w:hAnsi="Arial" w:cs="Arial"/>
                <w:sz w:val="20"/>
              </w:rPr>
              <w:t xml:space="preserve"> СФР принимает решение об отказе в возмещении расходов предупредительных мер в следующих случаях: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а) представленные страхователем документы, предусмотренные </w:t>
            </w:r>
            <w:hyperlink r:id="rId106">
              <w:r>
                <w:rPr>
                  <w:rFonts w:ascii="Arial" w:hAnsi="Arial" w:cs="Arial"/>
                  <w:color w:val="0000FF"/>
                  <w:sz w:val="20"/>
                </w:rPr>
                <w:t>пунктами 9</w:t>
              </w:r>
            </w:hyperlink>
            <w:r>
              <w:rPr>
                <w:rFonts w:ascii="Arial" w:hAnsi="Arial" w:cs="Arial"/>
                <w:sz w:val="20"/>
              </w:rPr>
              <w:t xml:space="preserve"> - </w:t>
            </w:r>
            <w:hyperlink r:id="rId107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11</w:t>
              </w:r>
            </w:hyperlink>
            <w:r>
              <w:rPr>
                <w:rFonts w:ascii="Arial" w:hAnsi="Arial" w:cs="Arial"/>
                <w:sz w:val="20"/>
                <w:shd w:val="clear" w:color="auto" w:fill="C0C0C0"/>
              </w:rPr>
              <w:t xml:space="preserve">, </w:t>
            </w:r>
            <w:hyperlink r:id="rId108">
              <w:r>
                <w:rPr>
                  <w:rFonts w:ascii="Arial" w:hAnsi="Arial" w:cs="Arial"/>
                  <w:color w:val="0000FF"/>
                  <w:sz w:val="20"/>
                  <w:shd w:val="clear" w:color="auto" w:fill="C0C0C0"/>
                </w:rPr>
                <w:t>абзацем девятнадцатым пункта</w:t>
              </w:r>
            </w:hyperlink>
            <w:hyperlink r:id="rId109">
              <w:r>
                <w:rPr>
                  <w:rFonts w:ascii="Arial" w:hAnsi="Arial" w:cs="Arial"/>
                  <w:color w:val="0000FF"/>
                  <w:sz w:val="20"/>
                </w:rPr>
                <w:t xml:space="preserve"> 12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содержат недостоверную информацию;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б) документы,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которые страхователь должен представить самостоятельно в соответствии 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hyperlink r:id="rId110">
              <w:r>
                <w:rPr>
                  <w:rFonts w:ascii="Arial" w:hAnsi="Arial" w:cs="Arial"/>
                  <w:color w:val="0000FF"/>
                  <w:sz w:val="20"/>
                </w:rPr>
                <w:t>пунктами 9</w:t>
              </w:r>
            </w:hyperlink>
            <w:r>
              <w:rPr>
                <w:rFonts w:ascii="Arial" w:hAnsi="Arial" w:cs="Arial"/>
                <w:sz w:val="20"/>
              </w:rPr>
              <w:t xml:space="preserve"> - </w:t>
            </w:r>
            <w:hyperlink r:id="rId111">
              <w:r>
                <w:rPr>
                  <w:rFonts w:ascii="Arial" w:hAnsi="Arial" w:cs="Arial"/>
                  <w:color w:val="0000FF"/>
                  <w:sz w:val="20"/>
                </w:rPr>
                <w:t>11</w:t>
              </w:r>
            </w:hyperlink>
            <w:r>
              <w:rPr>
                <w:rFonts w:ascii="Arial" w:hAnsi="Arial" w:cs="Arial"/>
                <w:sz w:val="20"/>
              </w:rPr>
              <w:t xml:space="preserve"> настоящих Правил, представлены страхователем не в полном объеме.</w:t>
            </w:r>
          </w:p>
        </w:tc>
      </w:tr>
      <w:tr w:rsidR="00144643">
        <w:tblPrEx>
          <w:tblBorders>
            <w:top w:val="nil"/>
          </w:tblBorders>
          <w:tblCellMar>
            <w:top w:w="0" w:type="dxa"/>
            <w:bottom w:w="0" w:type="dxa"/>
          </w:tblCellMar>
        </w:tblPrEx>
        <w:tc>
          <w:tcPr>
            <w:tcW w:w="7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lastRenderedPageBreak/>
              <w:t xml:space="preserve">При выявлении ошибок и замечаний в ходе проведения проверки представленных документов, подтверждающих произведенные расходы,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</w:t>
            </w:r>
            <w:r>
              <w:rPr>
                <w:rFonts w:ascii="Arial" w:hAnsi="Arial" w:cs="Arial"/>
                <w:sz w:val="20"/>
              </w:rPr>
              <w:t xml:space="preserve"> СФР в течение одного рабочего дня извещает страхователя об их устранении (любым доступным способом, свидетельствующем о дате его извещения).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Страхователь вправе в течение 5 рабочих дней со дня получения извещения устранить допущенные нарушения и представить повторно документы (копии документов), исправленные с учетом выявленных ошибок и замечаний. По истечении 5 рабочих дней со дня получения страхователем извещения и непредставления им документов (копий документов) </w:t>
            </w:r>
            <w:r>
              <w:rPr>
                <w:rFonts w:ascii="Arial" w:hAnsi="Arial" w:cs="Arial"/>
                <w:strike/>
                <w:color w:val="FF0000"/>
                <w:sz w:val="20"/>
              </w:rPr>
              <w:t>отделение</w:t>
            </w:r>
            <w:r>
              <w:rPr>
                <w:rFonts w:ascii="Arial" w:hAnsi="Arial" w:cs="Arial"/>
                <w:sz w:val="20"/>
              </w:rPr>
              <w:t xml:space="preserve"> СФР в течение 5 рабочих дней принимает решение об отказе в возмещении расходов предупредительных мер.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При выявлении ошибок и замечаний в ходе проведения проверки представленных документов, подтверждающих произведенные расходы,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территориальный орган</w:t>
            </w:r>
            <w:r>
              <w:rPr>
                <w:rFonts w:ascii="Arial" w:hAnsi="Arial" w:cs="Arial"/>
                <w:sz w:val="20"/>
              </w:rPr>
              <w:t xml:space="preserve"> СФР в течение одного рабочего дня извещает страхователя об их устранении (любым доступным способом, свидетельствующем о дате его извещения).</w:t>
            </w:r>
          </w:p>
          <w:p w:rsidR="00144643" w:rsidRDefault="00144643">
            <w:pPr>
              <w:spacing w:before="200" w:after="1" w:line="200" w:lineRule="atLeast"/>
              <w:ind w:firstLine="540"/>
              <w:jc w:val="both"/>
            </w:pPr>
            <w:r>
              <w:rPr>
                <w:rFonts w:ascii="Arial" w:hAnsi="Arial" w:cs="Arial"/>
                <w:sz w:val="20"/>
              </w:rPr>
              <w:t xml:space="preserve">Страхователь вправе в течение 5 рабочих дней со дня получения извещения устранить допущенные нарушения и представить повторно документы (копии документов), исправленные с учетом выявленных ошибок и замечаний. По истечении 5 рабочих дней со дня получения страхователем извещения и непредставления им документов (копий документов) </w:t>
            </w:r>
            <w:r>
              <w:rPr>
                <w:rFonts w:ascii="Arial" w:hAnsi="Arial" w:cs="Arial"/>
                <w:sz w:val="20"/>
                <w:shd w:val="clear" w:color="auto" w:fill="C0C0C0"/>
              </w:rPr>
              <w:t>территориальный орган</w:t>
            </w:r>
            <w:r>
              <w:rPr>
                <w:rFonts w:ascii="Arial" w:hAnsi="Arial" w:cs="Arial"/>
                <w:sz w:val="20"/>
              </w:rPr>
              <w:t xml:space="preserve"> СФР в течение 5 рабочих дней принимает решение об отказе в возмещении расходов предупредительных мер.</w:t>
            </w:r>
          </w:p>
        </w:tc>
      </w:tr>
    </w:tbl>
    <w:p w:rsidR="00144643" w:rsidRDefault="00144643"/>
    <w:p w:rsidR="005D269A" w:rsidRDefault="005D269A">
      <w:bookmarkStart w:id="0" w:name="_GoBack"/>
      <w:bookmarkEnd w:id="0"/>
    </w:p>
    <w:sectPr w:rsidR="005D269A" w:rsidSect="0056549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643"/>
    <w:rsid w:val="00144643"/>
    <w:rsid w:val="005D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396773&amp;dst=100014" TargetMode="External"/><Relationship Id="rId21" Type="http://schemas.openxmlformats.org/officeDocument/2006/relationships/hyperlink" Target="https://login.consultant.ru/link/?req=doc&amp;base=LAW&amp;n=510750&amp;dst=101156" TargetMode="External"/><Relationship Id="rId42" Type="http://schemas.openxmlformats.org/officeDocument/2006/relationships/hyperlink" Target="https://login.consultant.ru/link/?req=doc&amp;base=LAW&amp;n=507888" TargetMode="External"/><Relationship Id="rId47" Type="http://schemas.openxmlformats.org/officeDocument/2006/relationships/hyperlink" Target="https://login.consultant.ru/link/?req=doc&amp;base=LAW&amp;n=500129&amp;dst=235" TargetMode="External"/><Relationship Id="rId63" Type="http://schemas.openxmlformats.org/officeDocument/2006/relationships/hyperlink" Target="https://login.consultant.ru/link/?req=doc&amp;base=LAW&amp;n=491006&amp;dst=100221" TargetMode="External"/><Relationship Id="rId68" Type="http://schemas.openxmlformats.org/officeDocument/2006/relationships/hyperlink" Target="https://login.consultant.ru/link/?req=doc&amp;base=LAW&amp;n=491006&amp;dst=100055" TargetMode="External"/><Relationship Id="rId84" Type="http://schemas.openxmlformats.org/officeDocument/2006/relationships/hyperlink" Target="https://login.consultant.ru/link/?req=doc&amp;base=LAW&amp;n=493162&amp;dst=100006" TargetMode="External"/><Relationship Id="rId89" Type="http://schemas.openxmlformats.org/officeDocument/2006/relationships/hyperlink" Target="https://login.consultant.ru/link/?req=doc&amp;base=LAW&amp;n=491006&amp;dst=100057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s://login.consultant.ru/link/?req=doc&amp;base=LAW&amp;n=478737&amp;dst=100087" TargetMode="External"/><Relationship Id="rId107" Type="http://schemas.openxmlformats.org/officeDocument/2006/relationships/hyperlink" Target="https://login.consultant.ru/link/?req=doc&amp;base=LAW&amp;n=521257&amp;dst=100093" TargetMode="External"/><Relationship Id="rId11" Type="http://schemas.openxmlformats.org/officeDocument/2006/relationships/hyperlink" Target="https://login.consultant.ru/link/?req=doc&amp;base=LAW&amp;n=478737&amp;dst=100132" TargetMode="External"/><Relationship Id="rId32" Type="http://schemas.openxmlformats.org/officeDocument/2006/relationships/hyperlink" Target="https://login.consultant.ru/link/?req=doc&amp;base=LAW&amp;n=502639&amp;dst=101156" TargetMode="External"/><Relationship Id="rId37" Type="http://schemas.openxmlformats.org/officeDocument/2006/relationships/hyperlink" Target="https://login.consultant.ru/link/?req=doc&amp;base=LAW&amp;n=476082" TargetMode="External"/><Relationship Id="rId53" Type="http://schemas.openxmlformats.org/officeDocument/2006/relationships/hyperlink" Target="https://login.consultant.ru/link/?req=doc&amp;base=LAW&amp;n=521885&amp;dst=100173" TargetMode="External"/><Relationship Id="rId58" Type="http://schemas.openxmlformats.org/officeDocument/2006/relationships/hyperlink" Target="https://login.consultant.ru/link/?req=doc&amp;base=LAW&amp;n=521257&amp;dst=100063" TargetMode="External"/><Relationship Id="rId74" Type="http://schemas.openxmlformats.org/officeDocument/2006/relationships/hyperlink" Target="https://login.consultant.ru/link/?req=doc&amp;base=LAW&amp;n=521257&amp;dst=100221" TargetMode="External"/><Relationship Id="rId79" Type="http://schemas.openxmlformats.org/officeDocument/2006/relationships/hyperlink" Target="https://login.consultant.ru/link/?req=doc&amp;base=LAW&amp;n=521257&amp;dst=100063" TargetMode="External"/><Relationship Id="rId102" Type="http://schemas.openxmlformats.org/officeDocument/2006/relationships/hyperlink" Target="https://login.consultant.ru/link/?req=doc&amp;base=LAW&amp;n=521257&amp;dst=100089" TargetMode="External"/><Relationship Id="rId5" Type="http://schemas.openxmlformats.org/officeDocument/2006/relationships/hyperlink" Target="https://login.consultant.ru/link/?req=doc&amp;base=LAW&amp;n=491006" TargetMode="External"/><Relationship Id="rId90" Type="http://schemas.openxmlformats.org/officeDocument/2006/relationships/hyperlink" Target="https://login.consultant.ru/link/?req=doc&amp;base=LAW&amp;n=521257&amp;dst=100057" TargetMode="External"/><Relationship Id="rId95" Type="http://schemas.openxmlformats.org/officeDocument/2006/relationships/hyperlink" Target="https://login.consultant.ru/link/?req=doc&amp;base=LAW&amp;n=491006&amp;dst=100089" TargetMode="External"/><Relationship Id="rId22" Type="http://schemas.openxmlformats.org/officeDocument/2006/relationships/hyperlink" Target="https://login.consultant.ru/link/?req=doc&amp;base=LAW&amp;n=507888" TargetMode="External"/><Relationship Id="rId27" Type="http://schemas.openxmlformats.org/officeDocument/2006/relationships/hyperlink" Target="https://login.consultant.ru/link/?req=doc&amp;base=LAW&amp;n=445479" TargetMode="External"/><Relationship Id="rId43" Type="http://schemas.openxmlformats.org/officeDocument/2006/relationships/hyperlink" Target="https://login.consultant.ru/link/?req=doc&amp;base=LAW&amp;n=396773&amp;dst=100014" TargetMode="External"/><Relationship Id="rId48" Type="http://schemas.openxmlformats.org/officeDocument/2006/relationships/hyperlink" Target="https://login.consultant.ru/link/?req=doc&amp;base=LAW&amp;n=502905&amp;dst=100919" TargetMode="External"/><Relationship Id="rId64" Type="http://schemas.openxmlformats.org/officeDocument/2006/relationships/hyperlink" Target="https://login.consultant.ru/link/?req=doc&amp;base=LAW&amp;n=491006&amp;dst=100075" TargetMode="External"/><Relationship Id="rId69" Type="http://schemas.openxmlformats.org/officeDocument/2006/relationships/hyperlink" Target="https://login.consultant.ru/link/?req=doc&amp;base=LAW&amp;n=491006&amp;dst=100063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login.consultant.ru/link/?req=doc&amp;base=LAW&amp;n=521257&amp;dst=34" TargetMode="External"/><Relationship Id="rId85" Type="http://schemas.openxmlformats.org/officeDocument/2006/relationships/hyperlink" Target="https://login.consultant.ru/link/?req=doc&amp;base=LAW&amp;n=71762&amp;dst=100003" TargetMode="External"/><Relationship Id="rId12" Type="http://schemas.openxmlformats.org/officeDocument/2006/relationships/hyperlink" Target="https://login.consultant.ru/link/?req=doc&amp;base=LAW&amp;n=478737&amp;dst=100027" TargetMode="External"/><Relationship Id="rId17" Type="http://schemas.openxmlformats.org/officeDocument/2006/relationships/hyperlink" Target="https://login.consultant.ru/link/?req=doc&amp;base=LAW&amp;n=478737&amp;dst=100094" TargetMode="External"/><Relationship Id="rId33" Type="http://schemas.openxmlformats.org/officeDocument/2006/relationships/hyperlink" Target="https://login.consultant.ru/link/?req=doc&amp;base=LAW&amp;n=502639&amp;dst=101156" TargetMode="External"/><Relationship Id="rId38" Type="http://schemas.openxmlformats.org/officeDocument/2006/relationships/hyperlink" Target="https://login.consultant.ru/link/?req=doc&amp;base=LAW&amp;n=169401" TargetMode="External"/><Relationship Id="rId59" Type="http://schemas.openxmlformats.org/officeDocument/2006/relationships/hyperlink" Target="https://login.consultant.ru/link/?req=doc&amp;base=LAW&amp;n=521257&amp;dst=100055" TargetMode="External"/><Relationship Id="rId103" Type="http://schemas.openxmlformats.org/officeDocument/2006/relationships/hyperlink" Target="https://login.consultant.ru/link/?req=doc&amp;base=LAW&amp;n=521257&amp;dst=100206" TargetMode="External"/><Relationship Id="rId108" Type="http://schemas.openxmlformats.org/officeDocument/2006/relationships/hyperlink" Target="https://login.consultant.ru/link/?req=doc&amp;base=LAW&amp;n=521257&amp;dst=100194" TargetMode="External"/><Relationship Id="rId54" Type="http://schemas.openxmlformats.org/officeDocument/2006/relationships/hyperlink" Target="https://login.consultant.ru/link/?req=doc&amp;base=LAW&amp;n=491006&amp;dst=100221" TargetMode="External"/><Relationship Id="rId70" Type="http://schemas.openxmlformats.org/officeDocument/2006/relationships/hyperlink" Target="https://login.consultant.ru/link/?req=doc&amp;base=LAW&amp;n=521257&amp;dst=100063" TargetMode="External"/><Relationship Id="rId75" Type="http://schemas.openxmlformats.org/officeDocument/2006/relationships/hyperlink" Target="https://login.consultant.ru/link/?req=doc&amp;base=LAW&amp;n=521257&amp;dst=100221" TargetMode="External"/><Relationship Id="rId91" Type="http://schemas.openxmlformats.org/officeDocument/2006/relationships/hyperlink" Target="https://login.consultant.ru/link/?req=doc&amp;base=LAW&amp;n=491006&amp;dst=100049" TargetMode="External"/><Relationship Id="rId96" Type="http://schemas.openxmlformats.org/officeDocument/2006/relationships/hyperlink" Target="https://login.consultant.ru/link/?req=doc&amp;base=LAW&amp;n=491006&amp;dst=10020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1257" TargetMode="External"/><Relationship Id="rId15" Type="http://schemas.openxmlformats.org/officeDocument/2006/relationships/hyperlink" Target="https://login.consultant.ru/link/?req=doc&amp;base=LAW&amp;n=478737&amp;dst=100082" TargetMode="External"/><Relationship Id="rId23" Type="http://schemas.openxmlformats.org/officeDocument/2006/relationships/hyperlink" Target="https://login.consultant.ru/link/?req=doc&amp;base=LAW&amp;n=507888&amp;dst=100244" TargetMode="External"/><Relationship Id="rId28" Type="http://schemas.openxmlformats.org/officeDocument/2006/relationships/hyperlink" Target="https://login.consultant.ru/link/?req=doc&amp;base=LAW&amp;n=476082" TargetMode="External"/><Relationship Id="rId36" Type="http://schemas.openxmlformats.org/officeDocument/2006/relationships/hyperlink" Target="https://login.consultant.ru/link/?req=doc&amp;base=LAW&amp;n=445479" TargetMode="External"/><Relationship Id="rId49" Type="http://schemas.openxmlformats.org/officeDocument/2006/relationships/hyperlink" Target="https://login.consultant.ru/link/?req=doc&amp;base=LAW&amp;n=491006&amp;dst=100221" TargetMode="External"/><Relationship Id="rId57" Type="http://schemas.openxmlformats.org/officeDocument/2006/relationships/hyperlink" Target="https://login.consultant.ru/link/?req=doc&amp;base=LAW&amp;n=491006&amp;dst=100055" TargetMode="External"/><Relationship Id="rId106" Type="http://schemas.openxmlformats.org/officeDocument/2006/relationships/hyperlink" Target="https://login.consultant.ru/link/?req=doc&amp;base=LAW&amp;n=521257&amp;dst=100087" TargetMode="External"/><Relationship Id="rId10" Type="http://schemas.openxmlformats.org/officeDocument/2006/relationships/hyperlink" Target="https://login.consultant.ru/link/?req=doc&amp;base=LAW&amp;n=478737&amp;dst=100123" TargetMode="External"/><Relationship Id="rId31" Type="http://schemas.openxmlformats.org/officeDocument/2006/relationships/hyperlink" Target="https://login.consultant.ru/link/?req=doc&amp;base=LAW&amp;n=502639&amp;dst=101156" TargetMode="External"/><Relationship Id="rId44" Type="http://schemas.openxmlformats.org/officeDocument/2006/relationships/hyperlink" Target="https://login.consultant.ru/link/?req=doc&amp;base=LAW&amp;n=445479" TargetMode="External"/><Relationship Id="rId52" Type="http://schemas.openxmlformats.org/officeDocument/2006/relationships/hyperlink" Target="https://login.consultant.ru/link/?req=doc&amp;base=LAW&amp;n=521257&amp;dst=100221" TargetMode="External"/><Relationship Id="rId60" Type="http://schemas.openxmlformats.org/officeDocument/2006/relationships/hyperlink" Target="https://login.consultant.ru/link/?req=doc&amp;base=LAW&amp;n=521257&amp;dst=100063" TargetMode="External"/><Relationship Id="rId65" Type="http://schemas.openxmlformats.org/officeDocument/2006/relationships/hyperlink" Target="https://login.consultant.ru/link/?req=doc&amp;base=LAW&amp;n=491006&amp;dst=100221" TargetMode="External"/><Relationship Id="rId73" Type="http://schemas.openxmlformats.org/officeDocument/2006/relationships/hyperlink" Target="https://login.consultant.ru/link/?req=doc&amp;base=LAW&amp;n=521257&amp;dst=100075" TargetMode="External"/><Relationship Id="rId78" Type="http://schemas.openxmlformats.org/officeDocument/2006/relationships/hyperlink" Target="https://login.consultant.ru/link/?req=doc&amp;base=LAW&amp;n=521257&amp;dst=100055" TargetMode="External"/><Relationship Id="rId81" Type="http://schemas.openxmlformats.org/officeDocument/2006/relationships/hyperlink" Target="https://login.consultant.ru/link/?req=doc&amp;base=LAW&amp;n=502905&amp;dst=100960" TargetMode="External"/><Relationship Id="rId86" Type="http://schemas.openxmlformats.org/officeDocument/2006/relationships/hyperlink" Target="https://login.consultant.ru/link/?req=doc&amp;base=LAW&amp;n=520149&amp;dst=699" TargetMode="External"/><Relationship Id="rId94" Type="http://schemas.openxmlformats.org/officeDocument/2006/relationships/hyperlink" Target="https://login.consultant.ru/link/?req=doc&amp;base=LAW&amp;n=521257&amp;dst=100053" TargetMode="External"/><Relationship Id="rId99" Type="http://schemas.openxmlformats.org/officeDocument/2006/relationships/hyperlink" Target="https://login.consultant.ru/link/?req=doc&amp;base=LAW&amp;n=491006&amp;dst=100175" TargetMode="External"/><Relationship Id="rId101" Type="http://schemas.openxmlformats.org/officeDocument/2006/relationships/hyperlink" Target="https://login.consultant.ru/link/?req=doc&amp;base=LAW&amp;n=491006&amp;dst=1000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8737&amp;dst=100123" TargetMode="External"/><Relationship Id="rId13" Type="http://schemas.openxmlformats.org/officeDocument/2006/relationships/hyperlink" Target="https://login.consultant.ru/link/?req=doc&amp;base=LAW&amp;n=478737&amp;dst=100028" TargetMode="External"/><Relationship Id="rId18" Type="http://schemas.openxmlformats.org/officeDocument/2006/relationships/hyperlink" Target="https://login.consultant.ru/link/?req=doc&amp;base=LAW&amp;n=478737&amp;dst=100123" TargetMode="External"/><Relationship Id="rId39" Type="http://schemas.openxmlformats.org/officeDocument/2006/relationships/hyperlink" Target="https://login.consultant.ru/link/?req=doc&amp;base=LAW&amp;n=510750&amp;dst=101156" TargetMode="External"/><Relationship Id="rId109" Type="http://schemas.openxmlformats.org/officeDocument/2006/relationships/hyperlink" Target="https://login.consultant.ru/link/?req=doc&amp;base=LAW&amp;n=521257&amp;dst=100194" TargetMode="External"/><Relationship Id="rId34" Type="http://schemas.openxmlformats.org/officeDocument/2006/relationships/hyperlink" Target="https://login.consultant.ru/link/?req=doc&amp;base=LAW&amp;n=369066" TargetMode="External"/><Relationship Id="rId50" Type="http://schemas.openxmlformats.org/officeDocument/2006/relationships/hyperlink" Target="https://login.consultant.ru/link/?req=doc&amp;base=LAW&amp;n=520149&amp;dst=235" TargetMode="External"/><Relationship Id="rId55" Type="http://schemas.openxmlformats.org/officeDocument/2006/relationships/hyperlink" Target="https://login.consultant.ru/link/?req=doc&amp;base=LAW&amp;n=521257&amp;dst=100221" TargetMode="External"/><Relationship Id="rId76" Type="http://schemas.openxmlformats.org/officeDocument/2006/relationships/hyperlink" Target="https://login.consultant.ru/link/?req=doc&amp;base=LAW&amp;n=521257&amp;dst=100055" TargetMode="External"/><Relationship Id="rId97" Type="http://schemas.openxmlformats.org/officeDocument/2006/relationships/hyperlink" Target="https://login.consultant.ru/link/?req=doc&amp;base=LAW&amp;n=491006&amp;dst=100087" TargetMode="External"/><Relationship Id="rId104" Type="http://schemas.openxmlformats.org/officeDocument/2006/relationships/hyperlink" Target="https://login.consultant.ru/link/?req=doc&amp;base=LAW&amp;n=521257&amp;dst=100087" TargetMode="External"/><Relationship Id="rId7" Type="http://schemas.openxmlformats.org/officeDocument/2006/relationships/hyperlink" Target="https://login.consultant.ru/link/?req=doc&amp;base=LAW&amp;n=65953&amp;dst=100001" TargetMode="External"/><Relationship Id="rId71" Type="http://schemas.openxmlformats.org/officeDocument/2006/relationships/hyperlink" Target="https://login.consultant.ru/link/?req=doc&amp;base=LAW&amp;n=521257&amp;dst=27" TargetMode="External"/><Relationship Id="rId92" Type="http://schemas.openxmlformats.org/officeDocument/2006/relationships/hyperlink" Target="https://login.consultant.ru/link/?req=doc&amp;base=LAW&amp;n=521257&amp;dst=100049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169401" TargetMode="External"/><Relationship Id="rId24" Type="http://schemas.openxmlformats.org/officeDocument/2006/relationships/hyperlink" Target="https://login.consultant.ru/link/?req=doc&amp;base=LAW&amp;n=507888&amp;dst=100358" TargetMode="External"/><Relationship Id="rId40" Type="http://schemas.openxmlformats.org/officeDocument/2006/relationships/hyperlink" Target="https://login.consultant.ru/link/?req=doc&amp;base=LAW&amp;n=510750&amp;dst=101156" TargetMode="External"/><Relationship Id="rId45" Type="http://schemas.openxmlformats.org/officeDocument/2006/relationships/hyperlink" Target="https://login.consultant.ru/link/?req=doc&amp;base=LAW&amp;n=476082" TargetMode="External"/><Relationship Id="rId66" Type="http://schemas.openxmlformats.org/officeDocument/2006/relationships/hyperlink" Target="https://login.consultant.ru/link/?req=doc&amp;base=LAW&amp;n=491006&amp;dst=100221" TargetMode="External"/><Relationship Id="rId87" Type="http://schemas.openxmlformats.org/officeDocument/2006/relationships/hyperlink" Target="https://login.consultant.ru/link/?req=doc&amp;base=LAW&amp;n=491006&amp;dst=100050" TargetMode="External"/><Relationship Id="rId110" Type="http://schemas.openxmlformats.org/officeDocument/2006/relationships/hyperlink" Target="https://login.consultant.ru/link/?req=doc&amp;base=LAW&amp;n=521257&amp;dst=100087" TargetMode="External"/><Relationship Id="rId61" Type="http://schemas.openxmlformats.org/officeDocument/2006/relationships/hyperlink" Target="https://login.consultant.ru/link/?req=doc&amp;base=LAW&amp;n=491006&amp;dst=100063" TargetMode="External"/><Relationship Id="rId82" Type="http://schemas.openxmlformats.org/officeDocument/2006/relationships/hyperlink" Target="https://login.consultant.ru/link/?req=doc&amp;base=LAW&amp;n=502905&amp;dst=100960" TargetMode="External"/><Relationship Id="rId19" Type="http://schemas.openxmlformats.org/officeDocument/2006/relationships/hyperlink" Target="https://login.consultant.ru/link/?req=doc&amp;base=LAW&amp;n=478737&amp;dst=100132" TargetMode="External"/><Relationship Id="rId14" Type="http://schemas.openxmlformats.org/officeDocument/2006/relationships/hyperlink" Target="https://login.consultant.ru/link/?req=doc&amp;base=LAW&amp;n=478737&amp;dst=100029" TargetMode="External"/><Relationship Id="rId30" Type="http://schemas.openxmlformats.org/officeDocument/2006/relationships/hyperlink" Target="https://login.consultant.ru/link/?req=doc&amp;base=LAW&amp;n=495617" TargetMode="External"/><Relationship Id="rId35" Type="http://schemas.openxmlformats.org/officeDocument/2006/relationships/hyperlink" Target="https://login.consultant.ru/link/?req=doc&amp;base=LAW&amp;n=396773&amp;dst=100014" TargetMode="External"/><Relationship Id="rId56" Type="http://schemas.openxmlformats.org/officeDocument/2006/relationships/hyperlink" Target="https://login.consultant.ru/link/?req=doc&amp;base=LAW&amp;n=491006&amp;dst=100063" TargetMode="External"/><Relationship Id="rId77" Type="http://schemas.openxmlformats.org/officeDocument/2006/relationships/hyperlink" Target="https://login.consultant.ru/link/?req=doc&amp;base=LAW&amp;n=521257&amp;dst=100221" TargetMode="External"/><Relationship Id="rId100" Type="http://schemas.openxmlformats.org/officeDocument/2006/relationships/hyperlink" Target="https://login.consultant.ru/link/?req=doc&amp;base=LAW&amp;n=491006&amp;dst=100087" TargetMode="External"/><Relationship Id="rId105" Type="http://schemas.openxmlformats.org/officeDocument/2006/relationships/hyperlink" Target="https://login.consultant.ru/link/?req=doc&amp;base=LAW&amp;n=521257&amp;dst=100087" TargetMode="External"/><Relationship Id="rId8" Type="http://schemas.openxmlformats.org/officeDocument/2006/relationships/hyperlink" Target="https://login.consultant.ru/link/?req=doc&amp;base=LAW&amp;n=65953&amp;dst=100001" TargetMode="External"/><Relationship Id="rId51" Type="http://schemas.openxmlformats.org/officeDocument/2006/relationships/hyperlink" Target="https://login.consultant.ru/link/?req=doc&amp;base=LAW&amp;n=502905&amp;dst=100919" TargetMode="External"/><Relationship Id="rId72" Type="http://schemas.openxmlformats.org/officeDocument/2006/relationships/hyperlink" Target="https://login.consultant.ru/link/?req=doc&amp;base=LAW&amp;n=521257&amp;dst=100018" TargetMode="External"/><Relationship Id="rId93" Type="http://schemas.openxmlformats.org/officeDocument/2006/relationships/hyperlink" Target="https://login.consultant.ru/link/?req=doc&amp;base=LAW&amp;n=491006&amp;dst=100053" TargetMode="External"/><Relationship Id="rId98" Type="http://schemas.openxmlformats.org/officeDocument/2006/relationships/hyperlink" Target="https://login.consultant.ru/link/?req=doc&amp;base=LAW&amp;n=491006&amp;dst=100087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LAW&amp;n=507888&amp;dst=100414" TargetMode="External"/><Relationship Id="rId46" Type="http://schemas.openxmlformats.org/officeDocument/2006/relationships/hyperlink" Target="https://login.consultant.ru/link/?req=doc&amp;base=LAW&amp;n=169401" TargetMode="External"/><Relationship Id="rId67" Type="http://schemas.openxmlformats.org/officeDocument/2006/relationships/hyperlink" Target="https://login.consultant.ru/link/?req=doc&amp;base=LAW&amp;n=491006&amp;dst=100221" TargetMode="External"/><Relationship Id="rId20" Type="http://schemas.openxmlformats.org/officeDocument/2006/relationships/hyperlink" Target="https://login.consultant.ru/link/?req=doc&amp;base=LAW&amp;n=495617" TargetMode="External"/><Relationship Id="rId41" Type="http://schemas.openxmlformats.org/officeDocument/2006/relationships/hyperlink" Target="https://login.consultant.ru/link/?req=doc&amp;base=LAW&amp;n=510750&amp;dst=101156" TargetMode="External"/><Relationship Id="rId62" Type="http://schemas.openxmlformats.org/officeDocument/2006/relationships/hyperlink" Target="https://login.consultant.ru/link/?req=doc&amp;base=LAW&amp;n=491006&amp;dst=100018" TargetMode="External"/><Relationship Id="rId83" Type="http://schemas.openxmlformats.org/officeDocument/2006/relationships/hyperlink" Target="https://login.consultant.ru/link/?req=doc&amp;base=LAW&amp;n=521885&amp;dst=100173" TargetMode="External"/><Relationship Id="rId88" Type="http://schemas.openxmlformats.org/officeDocument/2006/relationships/hyperlink" Target="https://login.consultant.ru/link/?req=doc&amp;base=LAW&amp;n=521257&amp;dst=100050" TargetMode="External"/><Relationship Id="rId111" Type="http://schemas.openxmlformats.org/officeDocument/2006/relationships/hyperlink" Target="https://login.consultant.ru/link/?req=doc&amp;base=LAW&amp;n=521257&amp;dst=1000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8524</Words>
  <Characters>48588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gcheb_ot1</dc:creator>
  <cp:lastModifiedBy>gcheb_ot1 </cp:lastModifiedBy>
  <cp:revision>1</cp:revision>
  <dcterms:created xsi:type="dcterms:W3CDTF">2026-02-11T07:19:00Z</dcterms:created>
  <dcterms:modified xsi:type="dcterms:W3CDTF">2026-02-11T07:21:00Z</dcterms:modified>
</cp:coreProperties>
</file>