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E1" w:rsidRPr="00B30702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№9</w:t>
      </w:r>
    </w:p>
    <w:p w:rsidR="00226BE1" w:rsidRPr="00B30702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B30702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B30702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634618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</w:r>
      <w:r w:rsidR="0003469E" w:rsidRPr="00E91359">
        <w:rPr>
          <w:rFonts w:ascii="Times New Roman" w:hAnsi="Times New Roman" w:cs="Times New Roman"/>
          <w:sz w:val="24"/>
          <w:szCs w:val="24"/>
        </w:rPr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03469E" w:rsidRDefault="0003469E" w:rsidP="0003469E">
      <w:pPr>
        <w:pStyle w:val="a8"/>
        <w:jc w:val="center"/>
        <w:rPr>
          <w:rFonts w:ascii="Times New Roman" w:hAnsi="Times New Roman" w:cs="Times New Roman"/>
        </w:rPr>
      </w:pPr>
      <w:r w:rsidRPr="00E91359">
        <w:rPr>
          <w:rFonts w:ascii="Times New Roman" w:hAnsi="Times New Roman" w:cs="Times New Roman"/>
        </w:rPr>
        <w:t>Порецкого муниципального округа Чувашской Республики</w:t>
      </w:r>
    </w:p>
    <w:p w:rsidR="00226BE1" w:rsidRDefault="00226BE1" w:rsidP="0003469E">
      <w:pPr>
        <w:pStyle w:val="a8"/>
        <w:jc w:val="center"/>
        <w:rPr>
          <w:rFonts w:ascii="Times New Roman" w:hAnsi="Times New Roman" w:cs="Times New Roman"/>
        </w:rPr>
      </w:pPr>
      <w:r w:rsidRPr="0003469E">
        <w:rPr>
          <w:rFonts w:ascii="Times New Roman" w:hAnsi="Times New Roman" w:cs="Times New Roman"/>
        </w:rPr>
        <w:t xml:space="preserve"> за __</w:t>
      </w:r>
      <w:r w:rsidR="00051D9C" w:rsidRPr="0003469E">
        <w:rPr>
          <w:rFonts w:ascii="Times New Roman" w:hAnsi="Times New Roman" w:cs="Times New Roman"/>
          <w:u w:val="single"/>
        </w:rPr>
        <w:t>2023</w:t>
      </w:r>
      <w:r w:rsidRPr="0003469E">
        <w:rPr>
          <w:rFonts w:ascii="Times New Roman" w:hAnsi="Times New Roman" w:cs="Times New Roman"/>
        </w:rPr>
        <w:t>_____ год</w:t>
      </w:r>
    </w:p>
    <w:p w:rsidR="0003469E" w:rsidRPr="0003469E" w:rsidRDefault="0003469E" w:rsidP="00034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1D2A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2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Порецкого муниципального округа Чувашской Республики </w:t>
            </w:r>
            <w:r w:rsidR="001D2A19" w:rsidRPr="001D2A19">
              <w:rPr>
                <w:rFonts w:ascii="Times New Roman" w:hAnsi="Times New Roman" w:cs="Times New Roman"/>
                <w:bCs/>
                <w:sz w:val="24"/>
                <w:szCs w:val="24"/>
              </w:rPr>
              <w:t>«Укрепление общественного здоровья на 2023-2024 годы»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2EFF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4E29AB" w:rsidRDefault="00532EFF" w:rsidP="004E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  <w:r w:rsidR="004E29AB" w:rsidRPr="004E29AB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системы мотивации граждан к ведению здорового образа жизни, включая здоровое питание и отказ от вредных привычек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Default="00532EFF"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EFF" w:rsidRPr="00634618" w:rsidRDefault="00C83836" w:rsidP="00C83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рганизовано и проведено 82 мероприятия </w:t>
            </w:r>
            <w:r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за здоровый образ жизни 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более 2000 человек. Распространено более 300 буклетов о вреде курения табака, электронных сигарет, кальянов, о профилактике наркомании и алкоголизма и об основах ЗОЖ. Организованы более 50 видео демонстраций роликов об </w:t>
            </w:r>
            <w:r w:rsidR="006F0305" w:rsidRPr="004E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основах ЗОЖ, о </w:t>
            </w:r>
            <w:r w:rsidR="00536C3B" w:rsidRPr="004E137C">
              <w:rPr>
                <w:rFonts w:ascii="Times New Roman" w:hAnsi="Times New Roman" w:cs="Times New Roman"/>
                <w:sz w:val="24"/>
                <w:szCs w:val="24"/>
              </w:rPr>
              <w:t xml:space="preserve"> вреде курения, алкоголя, наркотиков.</w:t>
            </w:r>
            <w:r w:rsidR="009C31B0" w:rsidRPr="0085674D">
              <w:t xml:space="preserve"> </w:t>
            </w:r>
            <w:r w:rsidR="009C31B0" w:rsidRPr="009C31B0">
              <w:rPr>
                <w:rFonts w:ascii="Times New Roman" w:hAnsi="Times New Roman" w:cs="Times New Roman"/>
                <w:sz w:val="24"/>
                <w:szCs w:val="24"/>
              </w:rPr>
              <w:t xml:space="preserve">Во всех общеобразовательных организациях обеспечен охват </w:t>
            </w:r>
            <w:r w:rsidR="009C31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9C31B0" w:rsidRPr="009C31B0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 (100%).</w:t>
            </w:r>
          </w:p>
        </w:tc>
      </w:tr>
      <w:tr w:rsidR="00532EFF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4E29AB" w:rsidRDefault="00532EFF" w:rsidP="004E29A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E29AB">
              <w:rPr>
                <w:rFonts w:ascii="Times New Roman" w:hAnsi="Times New Roman" w:cs="Times New Roman"/>
              </w:rPr>
              <w:t xml:space="preserve">Основное мероприятие 2 </w:t>
            </w:r>
            <w:r w:rsidR="004E29AB" w:rsidRPr="004E29AB">
              <w:rPr>
                <w:rFonts w:ascii="Times New Roman" w:hAnsi="Times New Roman" w:cs="Times New Roman"/>
              </w:rP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Default="00532EFF"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EFF" w:rsidRPr="009C31B0" w:rsidRDefault="009C31B0" w:rsidP="00051D9C">
            <w:pPr>
              <w:pStyle w:val="a6"/>
              <w:rPr>
                <w:rFonts w:ascii="Times New Roman" w:hAnsi="Times New Roman" w:cs="Times New Roman"/>
              </w:rPr>
            </w:pPr>
            <w:r>
              <w:t>О</w:t>
            </w:r>
            <w:r w:rsidRPr="009C31B0">
              <w:t xml:space="preserve">рганизовано проведение </w:t>
            </w:r>
            <w:r>
              <w:t xml:space="preserve">профилактических осмотров и </w:t>
            </w:r>
            <w:r w:rsidRPr="009C31B0">
              <w:t>диспансеризации населения.</w:t>
            </w:r>
          </w:p>
        </w:tc>
      </w:tr>
      <w:tr w:rsidR="00F37210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634618" w:rsidRDefault="00F37210" w:rsidP="006C2B3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4E29AB" w:rsidRDefault="00F37210" w:rsidP="006C2B3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E29AB">
              <w:rPr>
                <w:rFonts w:ascii="Times New Roman" w:hAnsi="Times New Roman" w:cs="Times New Roman"/>
              </w:rPr>
              <w:t>Основное мероприятие 3 Ограничение распространения табачных изделий и алкоголя на территории Порецкого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600C5D" w:rsidRDefault="00F37210" w:rsidP="006C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210" w:rsidRDefault="00F37210" w:rsidP="00F37210">
            <w:pPr>
              <w:pStyle w:val="a6"/>
            </w:pPr>
            <w:r w:rsidRPr="00502E4E">
              <w:t>Осуществл</w:t>
            </w:r>
            <w:r>
              <w:t>ялся</w:t>
            </w:r>
            <w:r w:rsidRPr="00502E4E">
              <w:t xml:space="preserve"> </w:t>
            </w:r>
            <w:proofErr w:type="gramStart"/>
            <w:r w:rsidRPr="00502E4E">
              <w:t>контрол</w:t>
            </w:r>
            <w:r>
              <w:t>ь</w:t>
            </w:r>
            <w:r w:rsidRPr="00502E4E">
              <w:t xml:space="preserve"> за</w:t>
            </w:r>
            <w:proofErr w:type="gramEnd"/>
            <w:r w:rsidRPr="00502E4E">
              <w:t xml:space="preserve"> ограничением торговли табачной продукцией и алкоголем</w:t>
            </w:r>
          </w:p>
        </w:tc>
      </w:tr>
      <w:tr w:rsidR="00F37210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Default="00F37210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4E29AB" w:rsidRDefault="00F37210" w:rsidP="004E29A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E29AB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4E29AB">
              <w:rPr>
                <w:bCs/>
                <w:bdr w:val="none" w:sz="0" w:space="0" w:color="auto" w:frame="1"/>
              </w:rPr>
              <w:t>О</w:t>
            </w:r>
            <w:r w:rsidRPr="004E29AB">
              <w:t>ценка распространенности факторов риска неинфекционных заболеваний</w:t>
            </w:r>
            <w:r>
              <w:t xml:space="preserve"> </w:t>
            </w:r>
            <w:r w:rsidRPr="004E29AB">
              <w:t>на территории Порецкого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10" w:rsidRPr="00600C5D" w:rsidRDefault="00F3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210" w:rsidRPr="00634618" w:rsidRDefault="00F37210" w:rsidP="00C83836">
            <w:pPr>
              <w:pStyle w:val="a6"/>
              <w:rPr>
                <w:rFonts w:ascii="Times New Roman" w:hAnsi="Times New Roman" w:cs="Times New Roman"/>
              </w:rPr>
            </w:pPr>
            <w:r w:rsidRPr="00502E4E">
              <w:t>Проведен</w:t>
            </w:r>
            <w:r>
              <w:t>о</w:t>
            </w:r>
            <w:r w:rsidRPr="00502E4E">
              <w:t xml:space="preserve"> анкетировани</w:t>
            </w:r>
            <w:r>
              <w:t>е</w:t>
            </w:r>
            <w:r w:rsidRPr="00502E4E">
              <w:t xml:space="preserve"> в целях выявления масштабов потребления табака среди населения </w:t>
            </w:r>
          </w:p>
        </w:tc>
      </w:tr>
    </w:tbl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</w:pPr>
    </w:p>
    <w:p w:rsidR="00226BE1" w:rsidRPr="00634618" w:rsidRDefault="00226BE1" w:rsidP="00226BE1">
      <w:pPr>
        <w:pStyle w:val="a7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226BE1" w:rsidRPr="00E91359" w:rsidRDefault="00226BE1" w:rsidP="00226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226BE1" w:rsidRPr="00E91359" w:rsidRDefault="00226BE1" w:rsidP="00226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AD02EC" w:rsidRPr="00634618" w:rsidRDefault="00AD02EC" w:rsidP="00AD02EC">
      <w:pPr>
        <w:rPr>
          <w:rFonts w:ascii="Times New Roman" w:hAnsi="Times New Roman" w:cs="Times New Roman"/>
          <w:sz w:val="24"/>
          <w:szCs w:val="24"/>
        </w:rPr>
        <w:sectPr w:rsidR="00AD02EC" w:rsidRPr="00634618">
          <w:footerReference w:type="default" r:id="rId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26BE1" w:rsidRPr="00B30702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№10</w:t>
      </w:r>
    </w:p>
    <w:p w:rsidR="00226BE1" w:rsidRPr="00B30702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B30702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B30702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702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B30702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B30702">
        <w:rPr>
          <w:rFonts w:ascii="Times New Roman" w:hAnsi="Times New Roman" w:cs="Times New Roman"/>
          <w:b w:val="0"/>
        </w:rPr>
        <w:t>Сведения</w:t>
      </w:r>
      <w:r w:rsidRPr="00B30702">
        <w:rPr>
          <w:rFonts w:ascii="Times New Roman" w:hAnsi="Times New Roman" w:cs="Times New Roman"/>
          <w:b w:val="0"/>
        </w:rPr>
        <w:br/>
      </w:r>
      <w:r w:rsidR="0003469E" w:rsidRPr="00E91359">
        <w:rPr>
          <w:rFonts w:ascii="Times New Roman" w:hAnsi="Times New Roman" w:cs="Times New Roman"/>
          <w:b w:val="0"/>
        </w:rPr>
        <w:t>о достижении значений целевых показателей (индикаторов) муниципальной программы Порецкого муниципального округа, подпрограмм  муниципальной программы Порецкого муниципального округа Чувашской Республики</w:t>
      </w:r>
      <w:r w:rsidR="0003469E">
        <w:rPr>
          <w:rFonts w:ascii="Times New Roman" w:hAnsi="Times New Roman" w:cs="Times New Roman"/>
        </w:rPr>
        <w:t xml:space="preserve"> </w:t>
      </w:r>
      <w:r w:rsidR="0003469E" w:rsidRPr="00E91359">
        <w:rPr>
          <w:rFonts w:ascii="Times New Roman" w:hAnsi="Times New Roman" w:cs="Times New Roman"/>
          <w:b w:val="0"/>
        </w:rPr>
        <w:t>(программ)</w:t>
      </w:r>
    </w:p>
    <w:p w:rsidR="004E29AB" w:rsidRPr="004E29AB" w:rsidRDefault="004E29AB" w:rsidP="004E29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226BE1" w:rsidRPr="00634618" w:rsidTr="00051D9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год (план)</w:t>
            </w:r>
          </w:p>
        </w:tc>
      </w:tr>
      <w:tr w:rsidR="00226BE1" w:rsidRPr="004E3A87" w:rsidTr="00051D9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91359">
              <w:rPr>
                <w:sz w:val="20"/>
                <w:szCs w:val="20"/>
              </w:rPr>
              <w:t>отчетному</w:t>
            </w:r>
            <w:proofErr w:type="gramEnd"/>
            <w:r w:rsidR="00B939A4">
              <w:fldChar w:fldCharType="begin"/>
            </w:r>
            <w:r w:rsidR="009A6951">
              <w:instrText>HYPERLINK \l "sub_7777"</w:instrText>
            </w:r>
            <w:r w:rsidR="00B939A4">
              <w:fldChar w:fldCharType="separate"/>
            </w:r>
            <w:r w:rsidRPr="00E91359">
              <w:rPr>
                <w:rStyle w:val="a3"/>
                <w:color w:val="auto"/>
                <w:sz w:val="20"/>
                <w:szCs w:val="20"/>
              </w:rPr>
              <w:t>*</w:t>
            </w:r>
            <w:r w:rsidR="00B939A4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226BE1" w:rsidRPr="004E3A87" w:rsidTr="00051D9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226BE1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86B00" w:rsidRDefault="00486B00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86B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Порецкого муниципального округа Чувашской Республики </w:t>
            </w:r>
            <w:r w:rsidRPr="00486B00">
              <w:rPr>
                <w:rFonts w:ascii="Times New Roman" w:hAnsi="Times New Roman" w:cs="Times New Roman"/>
                <w:bCs/>
                <w:sz w:val="20"/>
                <w:szCs w:val="20"/>
              </w:rPr>
              <w:t>«Укрепление общественного здоровья на 2023-2024 годы»</w:t>
            </w:r>
          </w:p>
        </w:tc>
      </w:tr>
      <w:tr w:rsidR="00226BE1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8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1D2A19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4E3A87" w:rsidRDefault="001D2A19" w:rsidP="00327AC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1D2A19" w:rsidRDefault="001D2A19" w:rsidP="001D2A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2A19">
              <w:rPr>
                <w:rFonts w:ascii="Times New Roman" w:hAnsi="Times New Roman" w:cs="Times New Roman"/>
              </w:rPr>
              <w:t xml:space="preserve">Доля населения, систематически </w:t>
            </w:r>
            <w:proofErr w:type="gramStart"/>
            <w:r w:rsidRPr="001D2A19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1D2A19"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4E29AB" w:rsidP="004E29A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1D2A19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4E3A87" w:rsidRDefault="001D2A19" w:rsidP="00327AC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1D2A19" w:rsidRDefault="001D2A19" w:rsidP="001D2A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D2A19">
              <w:rPr>
                <w:rFonts w:ascii="Times New Roman" w:hAnsi="Times New Roman" w:cs="Times New Roman"/>
              </w:rPr>
              <w:t>Увеличение охвата населения диспансеризацией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19" w:rsidRPr="00327ACF" w:rsidRDefault="004E29AB" w:rsidP="004E29A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A19" w:rsidRPr="00327ACF" w:rsidRDefault="001D2A19" w:rsidP="001D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26BE1" w:rsidRDefault="00226BE1" w:rsidP="00226BE1"/>
    <w:p w:rsidR="00226BE1" w:rsidRDefault="00226BE1" w:rsidP="00226BE1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26BE1" w:rsidRPr="00D646FA" w:rsidRDefault="00226BE1" w:rsidP="00226BE1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646FA">
        <w:rPr>
          <w:rFonts w:ascii="Times New Roman" w:hAnsi="Times New Roman" w:cs="Times New Roman"/>
        </w:rPr>
        <w:t>отчетному</w:t>
      </w:r>
      <w:proofErr w:type="gramEnd"/>
      <w:r w:rsidRPr="00D646FA">
        <w:rPr>
          <w:rFonts w:ascii="Times New Roman" w:hAnsi="Times New Roman" w:cs="Times New Roman"/>
        </w:rPr>
        <w:t>.</w:t>
      </w:r>
    </w:p>
    <w:bookmarkEnd w:id="2"/>
    <w:p w:rsidR="00226BE1" w:rsidRPr="00286D9D" w:rsidRDefault="00226BE1" w:rsidP="00226BE1"/>
    <w:p w:rsidR="00226BE1" w:rsidRDefault="00226BE1" w:rsidP="00226BE1">
      <w:pPr>
        <w:jc w:val="right"/>
        <w:rPr>
          <w:rStyle w:val="a5"/>
          <w:b w:val="0"/>
          <w:bCs/>
          <w:sz w:val="24"/>
          <w:szCs w:val="24"/>
        </w:rPr>
        <w:sectPr w:rsidR="00226BE1" w:rsidSect="00051D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6BE1" w:rsidRPr="004E29AB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№11</w:t>
      </w:r>
    </w:p>
    <w:p w:rsidR="00226BE1" w:rsidRPr="004E29AB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4E29AB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4E29AB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F05736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Pr="00E91359" w:rsidRDefault="00226BE1" w:rsidP="00226BE1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</w:r>
      <w:r w:rsidR="0003469E" w:rsidRPr="00E91359">
        <w:rPr>
          <w:b w:val="0"/>
        </w:rPr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226BE1" w:rsidRPr="008C6004" w:rsidTr="00051D9C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26BE1" w:rsidRPr="00A97D57" w:rsidTr="00051D9C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8C6004" w:rsidRDefault="00226BE1" w:rsidP="00051D9C">
            <w:pPr>
              <w:pStyle w:val="a6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327ACF" w:rsidRPr="008C6004" w:rsidTr="00051D9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327ACF" w:rsidP="00051D9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574AB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327ACF" w:rsidP="004E29AB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4AB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Порецкого муниципального округа Чувашской Республики </w:t>
            </w:r>
            <w:r w:rsidR="004E29AB" w:rsidRPr="00B371AB">
              <w:t>«</w:t>
            </w:r>
            <w:r w:rsidR="004E29AB">
              <w:t xml:space="preserve">Укрепление общественного здоровья </w:t>
            </w:r>
            <w:r w:rsidR="004E29AB" w:rsidRPr="00C24805">
              <w:t>на 2023-2024 годы</w:t>
            </w:r>
            <w:r w:rsidR="004E29AB" w:rsidRPr="00B371AB"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4E29AB" w:rsidP="001D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7ACF" w:rsidRPr="0057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0929E9" w:rsidP="001D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7ACF" w:rsidRPr="0057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574AB6" w:rsidRDefault="004E29AB" w:rsidP="004E2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7ACF" w:rsidRPr="00574A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ACF" w:rsidRPr="00574AB6" w:rsidRDefault="000929E9" w:rsidP="001D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7ACF" w:rsidRPr="00574AB6">
              <w:rPr>
                <w:rFonts w:ascii="Times New Roman" w:hAnsi="Times New Roman" w:cs="Times New Roman"/>
              </w:rPr>
              <w:t>,0</w:t>
            </w:r>
          </w:p>
        </w:tc>
      </w:tr>
    </w:tbl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Pr="004E29AB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№12</w:t>
      </w:r>
    </w:p>
    <w:p w:rsidR="00226BE1" w:rsidRPr="004E29AB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4E29AB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634618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9AB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D646FA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</w:r>
      <w:r w:rsidR="0003469E" w:rsidRPr="00E91359">
        <w:rPr>
          <w:b w:val="0"/>
          <w:color w:val="auto"/>
        </w:rPr>
        <w:t>о финансировании реализации муниципальной программы Порецкого муниципального округа Чувашской Республики</w:t>
      </w:r>
    </w:p>
    <w:p w:rsidR="0003469E" w:rsidRDefault="0003469E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226BE1" w:rsidRDefault="00226BE1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 __</w:t>
      </w:r>
      <w:r w:rsidR="00574AB6">
        <w:rPr>
          <w:b w:val="0"/>
          <w:color w:val="auto"/>
          <w:u w:val="single"/>
        </w:rPr>
        <w:t>2023</w:t>
      </w:r>
      <w:r w:rsidRPr="00E91359">
        <w:rPr>
          <w:b w:val="0"/>
          <w:color w:val="auto"/>
        </w:rPr>
        <w:t>_____ год</w:t>
      </w:r>
    </w:p>
    <w:p w:rsidR="00226BE1" w:rsidRPr="00E91359" w:rsidRDefault="00226BE1" w:rsidP="00226BE1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26BE1" w:rsidTr="00051D9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3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3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226BE1" w:rsidTr="00051D9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574AB6" w:rsidTr="00051D9C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A2665A" w:rsidRDefault="004E29AB" w:rsidP="00A2665A">
            <w:pPr>
              <w:pStyle w:val="a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665A">
              <w:rPr>
                <w:rFonts w:ascii="Times New Roman" w:hAnsi="Times New Roman" w:cs="Times New Roman"/>
                <w:sz w:val="21"/>
                <w:szCs w:val="21"/>
              </w:rPr>
              <w:t>Муниципальная программа Порецкого муниципального округа Чувашской Республики «Укрепление общественного здоровья на 2023-2024 годы»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A2665A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0929E9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RPr="00A97D57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A2665A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0929E9" w:rsidP="001D2A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</w:tbl>
    <w:p w:rsidR="00226BE1" w:rsidRDefault="00226BE1" w:rsidP="00226BE1"/>
    <w:p w:rsidR="00226BE1" w:rsidRPr="00D646FA" w:rsidRDefault="00226BE1" w:rsidP="00226BE1">
      <w:pPr>
        <w:pStyle w:val="a7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26BE1" w:rsidRPr="00E91359" w:rsidRDefault="00226BE1" w:rsidP="00226BE1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226BE1" w:rsidRPr="00D646FA" w:rsidRDefault="00226BE1" w:rsidP="00226BE1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A2665A" w:rsidRDefault="00A2665A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A2665A" w:rsidRDefault="00A2665A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A2665A" w:rsidRDefault="00A2665A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A2665A" w:rsidRDefault="00A2665A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83836" w:rsidRDefault="00C8383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83836" w:rsidRDefault="00C8383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51D9C" w:rsidRPr="00A2665A" w:rsidRDefault="00051D9C" w:rsidP="00051D9C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№13</w:t>
      </w:r>
    </w:p>
    <w:p w:rsidR="00051D9C" w:rsidRPr="00A2665A" w:rsidRDefault="00051D9C" w:rsidP="00051D9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A2665A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051D9C" w:rsidRPr="00A2665A" w:rsidRDefault="00051D9C" w:rsidP="00051D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65A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051D9C" w:rsidRPr="00634618" w:rsidRDefault="00051D9C" w:rsidP="00051D9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D9C" w:rsidRPr="00D646FA" w:rsidRDefault="00051D9C" w:rsidP="00051D9C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51D9C" w:rsidP="0003469E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03469E" w:rsidRPr="00E91359">
        <w:rPr>
          <w:b w:val="0"/>
        </w:rPr>
        <w:t xml:space="preserve">о финансировании реализации отраслевых целевых программ Порецкого муниципального округа </w:t>
      </w:r>
      <w:r w:rsidR="0003469E" w:rsidRPr="00E91359">
        <w:rPr>
          <w:b w:val="0"/>
          <w:color w:val="auto"/>
        </w:rPr>
        <w:t>Чувашской Республики</w:t>
      </w:r>
      <w:r w:rsidR="0003469E" w:rsidRPr="00E91359">
        <w:rPr>
          <w:b w:val="0"/>
        </w:rPr>
        <w:t xml:space="preserve"> и основных мероприятий (мероприятий) подпрограмм муниципальной программы Порецкого муниципального округа </w:t>
      </w:r>
      <w:r w:rsidR="0003469E" w:rsidRPr="00E91359">
        <w:rPr>
          <w:b w:val="0"/>
          <w:color w:val="auto"/>
        </w:rPr>
        <w:t>Чувашской Республики</w:t>
      </w:r>
      <w:r w:rsidR="0003469E" w:rsidRPr="00E91359">
        <w:rPr>
          <w:b w:val="0"/>
        </w:rPr>
        <w:t xml:space="preserve"> </w:t>
      </w:r>
    </w:p>
    <w:p w:rsidR="00051D9C" w:rsidRDefault="0003469E" w:rsidP="0003469E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051D9C" w:rsidRDefault="00051D9C" w:rsidP="00051D9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_</w:t>
      </w:r>
      <w:r w:rsidR="00532EFF" w:rsidRPr="001D2A19">
        <w:rPr>
          <w:b w:val="0"/>
          <w:u w:val="single"/>
        </w:rPr>
        <w:t>2023</w:t>
      </w:r>
      <w:r w:rsidRPr="00E91359">
        <w:rPr>
          <w:b w:val="0"/>
        </w:rPr>
        <w:t>______ год</w:t>
      </w:r>
    </w:p>
    <w:p w:rsidR="0003469E" w:rsidRDefault="0003469E" w:rsidP="0003469E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051D9C" w:rsidRPr="0006736E" w:rsidTr="00051D9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proofErr w:type="gram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8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051D9C" w:rsidRPr="0006736E" w:rsidTr="00051D9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B939A4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051D9C"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051D9C" w:rsidRPr="0006736E">
              <w:rPr>
                <w:rFonts w:ascii="Times New Roman" w:hAnsi="Times New Roman" w:cs="Times New Roman"/>
                <w:sz w:val="18"/>
                <w:szCs w:val="18"/>
              </w:rPr>
              <w:t>, 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B939A4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51D9C"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051D9C"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1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06736E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D9C" w:rsidRPr="0006736E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9C" w:rsidRPr="0006736E" w:rsidTr="0048375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9C" w:rsidRPr="0006736E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45" w:rsidRPr="0006736E" w:rsidRDefault="00716C45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A2665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sz w:val="18"/>
                <w:szCs w:val="18"/>
              </w:rPr>
              <w:t>«Укрепление общественного здоровья на 2023-2024 годы»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4837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Администрация, МБУ «Централизованная библиотечная система», МБУ «Централизованная клубная система»</w:t>
            </w:r>
            <w:proofErr w:type="gram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 по Порецкому району МО МВД России «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», филиал «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Порецкая</w:t>
            </w:r>
            <w:proofErr w:type="spell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ЦРБ»  БУ 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ММЦ Минздрава Чувашии, БУ ЧР «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ЦСОН» Минтруда 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Чувашии,АУ</w:t>
            </w:r>
            <w:proofErr w:type="spell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«Редакция 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Порецкой</w:t>
            </w:r>
            <w:proofErr w:type="spell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районной газеты «</w:t>
            </w: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Порецкие</w:t>
            </w:r>
            <w:proofErr w:type="spellEnd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вести» </w:t>
            </w:r>
            <w:r w:rsidRPr="0006736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Министерства информационной политики и массовых коммуникаций Чувашской Республики,  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МАУ ДО ДЮСШ «Дельфин», образовательные организации Порецкого муниципального округа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7E788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0929E9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1D2A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0929E9" w:rsidP="001D2A1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ОЦП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736E">
              <w:rPr>
                <w:rFonts w:ascii="Times New Roman" w:hAnsi="Times New Roman" w:cs="Times New Roman"/>
              </w:rPr>
              <w:t xml:space="preserve">Доля населения, систематически </w:t>
            </w:r>
            <w:proofErr w:type="gramStart"/>
            <w:r w:rsidRPr="0006736E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06736E"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1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160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160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1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ОЦП 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Увеличение охвата населения диспансеризацией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1606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160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1606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81606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81606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45" w:rsidRPr="0006736E" w:rsidRDefault="00716C45" w:rsidP="003826C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sz w:val="18"/>
                <w:szCs w:val="18"/>
              </w:rPr>
              <w:t xml:space="preserve">Формирование системы мотивации граждан к ведению здорового образа жизни, включая здоровое питание и отказ от вредных привычек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C241A7" w:rsidRDefault="00716C45" w:rsidP="002833FA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C241A7" w:rsidRDefault="00716C45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</w:t>
            </w:r>
            <w:proofErr w:type="spellStart"/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стрессоустойчивости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C241A7" w:rsidRDefault="00716C45" w:rsidP="002833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C241A7" w:rsidRDefault="00716C45" w:rsidP="006C2B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C241A7" w:rsidRDefault="00716C45" w:rsidP="002833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C241A7" w:rsidRDefault="00716C45" w:rsidP="006C2B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C241A7" w:rsidRDefault="00716C45" w:rsidP="002833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C241A7" w:rsidRDefault="00716C45" w:rsidP="006C2B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C241A7" w:rsidRDefault="00716C45" w:rsidP="002833F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C241A7" w:rsidRDefault="00716C45" w:rsidP="006C2B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2833F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C241A7" w:rsidRDefault="00716C45" w:rsidP="002833FA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C241A7" w:rsidRDefault="00716C45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 и на официальной сайте администрации Порецкого муниципального округа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B371AB" w:rsidRDefault="00716C45" w:rsidP="006C2B34">
            <w:pPr>
              <w:contextualSpacing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B371AB" w:rsidRDefault="00716C45" w:rsidP="006C2B34">
            <w:pPr>
              <w:contextualSpacing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B371AB" w:rsidRDefault="00716C45" w:rsidP="006C2B34">
            <w:pPr>
              <w:contextualSpacing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B371AB" w:rsidRDefault="00716C45" w:rsidP="006C2B34">
            <w:pPr>
              <w:contextualSpacing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B371AB" w:rsidRDefault="00716C45" w:rsidP="006C2B34">
            <w:pPr>
              <w:contextualSpacing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B371AB" w:rsidRDefault="00716C45" w:rsidP="006C2B34">
            <w:pPr>
              <w:contextualSpacing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C241A7" w:rsidRDefault="00716C45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2E07D3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6C45" w:rsidRPr="000673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C241A7" w:rsidRDefault="00716C45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Организация и проведение муниципального этапа соревнований «Президентские состязания», «Президентские спортивные игры»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C241A7" w:rsidRDefault="00716C45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Проведение спортивно-массовых мероприятий, фестивалей, спартакиад среди различных слоев населения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C241A7" w:rsidRDefault="00716C45" w:rsidP="006C2B34">
            <w:pPr>
              <w:adjustRightInd w:val="0"/>
              <w:snapToGri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 и на официальном сайте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Организация и проведение районных соревнований различной направленности (легкая атлетика, волейбол, баскетбол, настольный теннис) в рамках областных спартакиад школьников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1.8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502E4E">
              <w:t>Летняя и осенняя оздоровительная кампания, организованная на базе общеобразовательных организаций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6C2B34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4">
              <w:rPr>
                <w:sz w:val="18"/>
                <w:szCs w:val="18"/>
              </w:rPr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6C2B34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6C2B34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6C2B34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6C2B34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6C2B34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6C2B34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4">
              <w:rPr>
                <w:sz w:val="18"/>
                <w:szCs w:val="18"/>
              </w:rPr>
              <w:t xml:space="preserve">Тематические мероприятия, направленные на профилактику вредных привычек, формирование здорового образа жизни (в том числе проведение мероприятий в рамках Всемирного дня борьбы со </w:t>
            </w:r>
            <w:proofErr w:type="spellStart"/>
            <w:r w:rsidRPr="006C2B34">
              <w:rPr>
                <w:sz w:val="18"/>
                <w:szCs w:val="18"/>
              </w:rPr>
              <w:t>СПИДом</w:t>
            </w:r>
            <w:proofErr w:type="spellEnd"/>
            <w:r w:rsidRPr="006C2B34">
              <w:rPr>
                <w:sz w:val="18"/>
                <w:szCs w:val="18"/>
              </w:rPr>
              <w:t>, Всероссийского дня трезвости, Всемирного дня без табака и т.д.)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rFonts w:ascii="Times New Roman" w:hAnsi="Times New Roman" w:cs="Times New Roman"/>
                <w:sz w:val="18"/>
                <w:szCs w:val="18"/>
              </w:rPr>
              <w:t xml:space="preserve">Месячник </w:t>
            </w:r>
            <w:proofErr w:type="spellStart"/>
            <w:r w:rsidRPr="002833FA">
              <w:rPr>
                <w:rFonts w:ascii="Times New Roman" w:hAnsi="Times New Roman" w:cs="Times New Roman"/>
                <w:sz w:val="18"/>
                <w:szCs w:val="18"/>
              </w:rPr>
              <w:t>антинаркотической</w:t>
            </w:r>
            <w:proofErr w:type="spellEnd"/>
            <w:r w:rsidRPr="002833FA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и формирования здорового образа жизни</w:t>
            </w:r>
          </w:p>
          <w:p w:rsidR="00716C45" w:rsidRPr="002833FA" w:rsidRDefault="00716C45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833FA">
              <w:rPr>
                <w:rFonts w:ascii="Times New Roman" w:hAnsi="Times New Roman" w:cs="Times New Roman"/>
                <w:sz w:val="18"/>
                <w:szCs w:val="18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  <w:proofErr w:type="gramEnd"/>
          </w:p>
          <w:p w:rsidR="00716C45" w:rsidRPr="002833FA" w:rsidRDefault="00716C45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6C2B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обучающихся школ района в профильных сменах загородных лагерей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1.14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2833FA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833FA">
              <w:rPr>
                <w:sz w:val="18"/>
                <w:szCs w:val="18"/>
              </w:rPr>
              <w:t>Массовые спортивные мероприятия, приуроченные к формированию здорового образа жизни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  <w:p w:rsidR="00716C45" w:rsidRPr="0006736E" w:rsidRDefault="00716C45" w:rsidP="0006736E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6C2B34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6C2B34">
              <w:rPr>
                <w:sz w:val="18"/>
                <w:szCs w:val="18"/>
              </w:rPr>
              <w:t>Проведение Марафона здоровья: увеличение охвата  </w:t>
            </w:r>
            <w:proofErr w:type="spellStart"/>
            <w:r w:rsidRPr="006C2B34">
              <w:rPr>
                <w:sz w:val="18"/>
                <w:szCs w:val="18"/>
              </w:rPr>
              <w:t>населенияПорецкого</w:t>
            </w:r>
            <w:proofErr w:type="spellEnd"/>
            <w:r w:rsidRPr="006C2B34">
              <w:rPr>
                <w:sz w:val="18"/>
                <w:szCs w:val="18"/>
              </w:rPr>
              <w:t xml:space="preserve"> муниципального округа диспансеризацией и профилактическими осмотрами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C2B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Ограничение распространения табачных изделий и алкоголя на территории Порецкого муниципального округа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B4384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EB62F4" w:rsidRDefault="00716C45" w:rsidP="00EB62F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комплексных профилактических мероприятий, связанных с распространением табачных изделий на территории Порецкого муниципального округа, предупреждение и пресечение фактов курения табака (выявление правонарушений, связанных с курением) на территориях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EB62F4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EB62F4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EB62F4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EB62F4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45" w:rsidRPr="00EB62F4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B4384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EB62F4" w:rsidRDefault="00716C45" w:rsidP="000929E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комплексных профилактических мероприятий, связанных с  незаконным распространением алкоголя, в том числе суррогатного,  на территории  Порецкого муниципального округа, предупреждение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6C45" w:rsidRPr="0006736E" w:rsidRDefault="00716C45" w:rsidP="00B4384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3.3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C45" w:rsidRPr="00EB62F4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EB62F4">
              <w:rPr>
                <w:sz w:val="18"/>
                <w:szCs w:val="18"/>
              </w:rPr>
              <w:t>контроля за</w:t>
            </w:r>
            <w:proofErr w:type="gramEnd"/>
            <w:r w:rsidRPr="00EB62F4">
              <w:rPr>
                <w:sz w:val="18"/>
                <w:szCs w:val="18"/>
              </w:rPr>
              <w:t xml:space="preserve"> ограничением торговли табачной продукцией и алкоголем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4</w:t>
            </w:r>
          </w:p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6736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О</w:t>
            </w: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ценка распространенности факторов риска неинфекционных заболеваний на территории Порецкого муниципального округа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6F0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45" w:rsidRPr="0006736E" w:rsidRDefault="00716C45" w:rsidP="00EB62F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EB62F4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sz w:val="18"/>
                <w:szCs w:val="18"/>
              </w:rPr>
              <w:t>Проведение анкетирования в целях выявления масштабов потребления табака среди населения Порецкого муниципального округа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6C45" w:rsidRPr="0006736E" w:rsidRDefault="00716C45" w:rsidP="00EB62F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241A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45" w:rsidRPr="00EB62F4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B62F4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EB62F4">
              <w:rPr>
                <w:sz w:val="18"/>
                <w:szCs w:val="18"/>
              </w:rPr>
              <w:t>онкоскринингов</w:t>
            </w:r>
            <w:proofErr w:type="spellEnd"/>
            <w:r w:rsidRPr="00EB62F4">
              <w:rPr>
                <w:sz w:val="18"/>
                <w:szCs w:val="18"/>
              </w:rPr>
              <w:t xml:space="preserve"> среди граждан старше 45 лет на выявление онкологических заболеваний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16C45" w:rsidRPr="0006736E" w:rsidTr="000929E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45" w:rsidRPr="0006736E" w:rsidRDefault="00716C45" w:rsidP="0009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3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051D9C" w:rsidRPr="00AB6850" w:rsidRDefault="00051D9C" w:rsidP="00051D9C">
      <w:pPr>
        <w:rPr>
          <w:sz w:val="20"/>
          <w:szCs w:val="20"/>
        </w:rPr>
      </w:pPr>
    </w:p>
    <w:p w:rsidR="00051D9C" w:rsidRPr="00D646FA" w:rsidRDefault="00051D9C" w:rsidP="00051D9C">
      <w:pPr>
        <w:pStyle w:val="a7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3836" w:rsidRDefault="00051D9C" w:rsidP="00F855A5">
      <w:pPr>
        <w:rPr>
          <w:rFonts w:ascii="Times New Roman" w:hAnsi="Times New Roman" w:cs="Times New Roman"/>
          <w:b/>
          <w:sz w:val="24"/>
          <w:szCs w:val="24"/>
        </w:rPr>
        <w:sectPr w:rsidR="00C83836" w:rsidSect="00051D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  <w:bookmarkEnd w:id="8"/>
    </w:p>
    <w:p w:rsidR="00C83836" w:rsidRPr="00376989" w:rsidRDefault="00C83836" w:rsidP="00C83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</w:t>
      </w:r>
    </w:p>
    <w:p w:rsidR="00ED0464" w:rsidRPr="00ED0464" w:rsidRDefault="00C83836" w:rsidP="00ED046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Порецкого </w:t>
      </w:r>
      <w:r w:rsidRPr="00C80DD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Чувашской Республики </w:t>
      </w:r>
      <w:r w:rsidR="00ED0464" w:rsidRPr="00ED0464">
        <w:rPr>
          <w:rFonts w:ascii="Times New Roman" w:hAnsi="Times New Roman" w:cs="Times New Roman"/>
          <w:b/>
          <w:bCs/>
          <w:sz w:val="24"/>
          <w:szCs w:val="24"/>
        </w:rPr>
        <w:t>«Укрепление общественного здоровья на 2023-2024 годы»</w:t>
      </w:r>
    </w:p>
    <w:p w:rsidR="00C83836" w:rsidRPr="00376989" w:rsidRDefault="00C83836" w:rsidP="00C83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836" w:rsidRPr="00376989" w:rsidRDefault="00C83836" w:rsidP="00C8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83836" w:rsidRPr="00376989" w:rsidRDefault="00C83836" w:rsidP="00C83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836" w:rsidRDefault="00C83836" w:rsidP="000D6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 w:rsidRPr="00574502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4B6225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="00ED0464" w:rsidRPr="004B6225">
        <w:rPr>
          <w:rFonts w:ascii="Times New Roman" w:hAnsi="Times New Roman" w:cs="Times New Roman"/>
          <w:bCs/>
          <w:sz w:val="24"/>
          <w:szCs w:val="24"/>
        </w:rPr>
        <w:t>Укрепление общественного здоровья на 2023-2024 годы</w:t>
      </w:r>
      <w:r w:rsidRPr="004B6225"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376989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включает в себя </w:t>
      </w:r>
      <w:r w:rsidR="000D623B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376989">
        <w:rPr>
          <w:rFonts w:ascii="Times New Roman" w:hAnsi="Times New Roman" w:cs="Times New Roman"/>
          <w:sz w:val="24"/>
          <w:szCs w:val="24"/>
        </w:rPr>
        <w:t>информацию</w:t>
      </w:r>
      <w:r w:rsidR="000D623B">
        <w:rPr>
          <w:rFonts w:ascii="Times New Roman" w:hAnsi="Times New Roman" w:cs="Times New Roman"/>
          <w:sz w:val="24"/>
          <w:szCs w:val="24"/>
        </w:rPr>
        <w:t>.</w:t>
      </w:r>
    </w:p>
    <w:p w:rsidR="000D623B" w:rsidRPr="00C80DD9" w:rsidRDefault="000D623B" w:rsidP="000D6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Default="00C83836" w:rsidP="00C838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C83836" w:rsidRPr="00376989" w:rsidRDefault="00C83836" w:rsidP="00C8383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83836" w:rsidRPr="000D623B" w:rsidRDefault="00C83836" w:rsidP="00197C35">
      <w:pPr>
        <w:pStyle w:val="TableParagraph"/>
        <w:ind w:firstLine="567"/>
        <w:jc w:val="both"/>
        <w:rPr>
          <w:lang w:val="ru-RU"/>
        </w:rPr>
      </w:pPr>
      <w:r w:rsidRPr="000D623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муниципальной программы в 2023 году была направлена на формирование </w:t>
      </w:r>
      <w:bookmarkStart w:id="9" w:name="_Hlk122388290"/>
      <w:r w:rsidR="000D623B" w:rsidRPr="004920DE">
        <w:rPr>
          <w:rFonts w:ascii="Times New Roman" w:hAnsi="Times New Roman" w:cs="Times New Roman"/>
          <w:sz w:val="24"/>
          <w:szCs w:val="24"/>
          <w:lang w:val="ru-RU"/>
        </w:rPr>
        <w:t>у граждан отношения к здоровью как высшей ценности, мотивационных установок и потребности в здоровом образе жизни;</w:t>
      </w:r>
      <w:r w:rsidR="000D6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23B" w:rsidRPr="004920DE">
        <w:rPr>
          <w:rFonts w:ascii="Times New Roman" w:hAnsi="Times New Roman" w:cs="Times New Roman"/>
          <w:sz w:val="24"/>
          <w:szCs w:val="24"/>
          <w:lang w:val="ru-RU"/>
        </w:rPr>
        <w:t>совершенствование условий для здорового образа жизни, увеличение ожидаемой продолжительности жизни, улучшение физического и духовного здоровья;</w:t>
      </w:r>
      <w:r w:rsidR="000D6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23B" w:rsidRPr="004920DE">
        <w:rPr>
          <w:rFonts w:ascii="Times New Roman" w:hAnsi="Times New Roman" w:cs="Times New Roman"/>
          <w:sz w:val="24"/>
          <w:szCs w:val="24"/>
          <w:lang w:val="ru-RU"/>
        </w:rPr>
        <w:t xml:space="preserve">создание механизма межведомственного взаимодействия, направленного на формирование здорового образа жизни, профилактику всех форм зависимости и укреплению нравственных ориентиров у населения </w:t>
      </w:r>
      <w:r w:rsidR="000D623B"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bookmarkEnd w:id="9"/>
      <w:r w:rsidR="000D62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623B" w:rsidRDefault="000D623B" w:rsidP="00C838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836" w:rsidRDefault="00C83836" w:rsidP="00C838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программных мероприятий в 2023 году выполнение целевых индикаторов и показателей муниципальной программы составило:</w:t>
      </w:r>
    </w:p>
    <w:p w:rsidR="00C83836" w:rsidRPr="004B6225" w:rsidRDefault="004B6225" w:rsidP="00C83836">
      <w:pPr>
        <w:pStyle w:val="ConsPlusNormal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6225">
        <w:rPr>
          <w:rFonts w:ascii="Times New Roman" w:hAnsi="Times New Roman" w:cs="Times New Roman"/>
          <w:sz w:val="24"/>
          <w:szCs w:val="24"/>
        </w:rPr>
        <w:t xml:space="preserve">Доля населения, систематически </w:t>
      </w:r>
      <w:proofErr w:type="gramStart"/>
      <w:r w:rsidRPr="004B6225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B6225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3836" w:rsidRPr="004B6225">
        <w:rPr>
          <w:rFonts w:ascii="Times New Roman" w:hAnsi="Times New Roman" w:cs="Times New Roman"/>
          <w:sz w:val="24"/>
          <w:szCs w:val="24"/>
        </w:rPr>
        <w:t xml:space="preserve"> 5</w:t>
      </w:r>
      <w:r w:rsidRPr="004B6225">
        <w:rPr>
          <w:rFonts w:ascii="Times New Roman" w:hAnsi="Times New Roman" w:cs="Times New Roman"/>
          <w:sz w:val="24"/>
          <w:szCs w:val="24"/>
        </w:rPr>
        <w:t>5,</w:t>
      </w:r>
      <w:r w:rsidR="00C83836" w:rsidRPr="004B6225">
        <w:rPr>
          <w:rFonts w:ascii="Times New Roman" w:hAnsi="Times New Roman" w:cs="Times New Roman"/>
          <w:sz w:val="24"/>
          <w:szCs w:val="24"/>
        </w:rPr>
        <w:t>1 процента;</w:t>
      </w:r>
    </w:p>
    <w:p w:rsidR="00C83836" w:rsidRPr="004B6225" w:rsidRDefault="004B6225" w:rsidP="00C83836">
      <w:pPr>
        <w:pStyle w:val="ConsPlusNormal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6225">
        <w:rPr>
          <w:rFonts w:ascii="Times New Roman" w:hAnsi="Times New Roman" w:cs="Times New Roman"/>
          <w:sz w:val="24"/>
          <w:szCs w:val="24"/>
        </w:rPr>
        <w:t>Увеличение охвата населения диспансеризацией</w:t>
      </w:r>
      <w:r w:rsidR="00C83836" w:rsidRPr="004B6225">
        <w:rPr>
          <w:rFonts w:ascii="Times New Roman" w:hAnsi="Times New Roman" w:cs="Times New Roman"/>
          <w:sz w:val="24"/>
          <w:szCs w:val="24"/>
        </w:rPr>
        <w:t xml:space="preserve"> - </w:t>
      </w:r>
      <w:r w:rsidRPr="004B6225">
        <w:rPr>
          <w:rFonts w:ascii="Times New Roman" w:hAnsi="Times New Roman" w:cs="Times New Roman"/>
          <w:sz w:val="24"/>
          <w:szCs w:val="24"/>
        </w:rPr>
        <w:t>6</w:t>
      </w:r>
      <w:r w:rsidR="00C83836" w:rsidRPr="004B6225">
        <w:rPr>
          <w:rFonts w:ascii="Times New Roman" w:hAnsi="Times New Roman" w:cs="Times New Roman"/>
          <w:sz w:val="24"/>
          <w:szCs w:val="24"/>
        </w:rPr>
        <w:t>5 процентов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225" w:rsidRDefault="004B6225" w:rsidP="00C83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36" w:rsidRPr="00E14E43" w:rsidRDefault="00C83836" w:rsidP="003A0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муниципальной программы</w:t>
      </w:r>
    </w:p>
    <w:p w:rsidR="00C83836" w:rsidRPr="00E14E43" w:rsidRDefault="00C83836" w:rsidP="00C83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36" w:rsidRDefault="00C8383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="004B6225" w:rsidRPr="004E29AB">
        <w:rPr>
          <w:rFonts w:ascii="Times New Roman" w:hAnsi="Times New Roman" w:cs="Times New Roman"/>
          <w:sz w:val="24"/>
          <w:szCs w:val="24"/>
        </w:rPr>
        <w:t>Формирование системы мотивации граждан к ведению здорового образа жизни, включая здоровое питание и отказ от вредных привычек</w:t>
      </w:r>
      <w:r w:rsidRPr="00F439C0">
        <w:rPr>
          <w:rFonts w:ascii="Times New Roman" w:hAnsi="Times New Roman" w:cs="Times New Roman"/>
          <w:sz w:val="24"/>
          <w:szCs w:val="24"/>
        </w:rPr>
        <w:t>.</w:t>
      </w:r>
    </w:p>
    <w:p w:rsidR="000D623B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9F6" w:rsidRDefault="003859F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137C">
        <w:rPr>
          <w:rFonts w:ascii="Times New Roman" w:hAnsi="Times New Roman" w:cs="Times New Roman"/>
          <w:sz w:val="24"/>
          <w:szCs w:val="24"/>
        </w:rPr>
        <w:t xml:space="preserve">рганизовано и проведено 82 мероприятия за здоровый образ жизни с участием более 2000 человек. </w:t>
      </w:r>
    </w:p>
    <w:p w:rsidR="000D623B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9F6" w:rsidRDefault="003859F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7C">
        <w:rPr>
          <w:rFonts w:ascii="Times New Roman" w:hAnsi="Times New Roman" w:cs="Times New Roman"/>
          <w:sz w:val="24"/>
          <w:szCs w:val="24"/>
        </w:rPr>
        <w:t xml:space="preserve">Распространено более 300 буклетов о вреде курения табака, электронных сигарет, кальянов, о профилактике наркомании и алкоголизма и об основах </w:t>
      </w:r>
      <w:r w:rsidR="000D623B" w:rsidRPr="004E29AB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4E13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23B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9F6" w:rsidRDefault="003859F6" w:rsidP="00C83836">
      <w:pPr>
        <w:pStyle w:val="ConsPlusNormal"/>
        <w:ind w:right="-2" w:firstLine="709"/>
        <w:jc w:val="both"/>
      </w:pPr>
      <w:r w:rsidRPr="004E137C">
        <w:rPr>
          <w:rFonts w:ascii="Times New Roman" w:hAnsi="Times New Roman" w:cs="Times New Roman"/>
          <w:sz w:val="24"/>
          <w:szCs w:val="24"/>
        </w:rPr>
        <w:t xml:space="preserve">Организованы более 50 видео демонстраций роликов об основах </w:t>
      </w:r>
      <w:r w:rsidR="000D623B" w:rsidRPr="004E29AB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4E137C">
        <w:rPr>
          <w:rFonts w:ascii="Times New Roman" w:hAnsi="Times New Roman" w:cs="Times New Roman"/>
          <w:sz w:val="24"/>
          <w:szCs w:val="24"/>
        </w:rPr>
        <w:t>, о  вреде курения, алкоголя, наркотиков.</w:t>
      </w:r>
      <w:r w:rsidRPr="0085674D">
        <w:t xml:space="preserve"> </w:t>
      </w:r>
    </w:p>
    <w:p w:rsidR="000D623B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C35" w:rsidRDefault="00AB07DC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137C">
        <w:rPr>
          <w:rFonts w:ascii="Times New Roman" w:hAnsi="Times New Roman" w:cs="Times New Roman"/>
          <w:sz w:val="24"/>
          <w:szCs w:val="24"/>
        </w:rPr>
        <w:t>рганизовано и проведено</w:t>
      </w:r>
      <w:r w:rsidR="004F7EA5" w:rsidRPr="00AB07DC">
        <w:rPr>
          <w:rFonts w:ascii="Times New Roman" w:hAnsi="Times New Roman" w:cs="Times New Roman"/>
          <w:sz w:val="24"/>
          <w:szCs w:val="24"/>
        </w:rPr>
        <w:t xml:space="preserve"> 74 спортивно-массовых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97C35">
        <w:rPr>
          <w:rFonts w:ascii="Times New Roman" w:hAnsi="Times New Roman" w:cs="Times New Roman"/>
          <w:sz w:val="24"/>
          <w:szCs w:val="24"/>
        </w:rPr>
        <w:t xml:space="preserve">: </w:t>
      </w:r>
      <w:r w:rsidR="004F7EA5" w:rsidRPr="00AB07DC">
        <w:rPr>
          <w:rFonts w:ascii="Times New Roman" w:hAnsi="Times New Roman" w:cs="Times New Roman"/>
          <w:sz w:val="24"/>
          <w:szCs w:val="24"/>
        </w:rPr>
        <w:t>декады спорта и здоровья, дни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7DC">
        <w:rPr>
          <w:rFonts w:ascii="Times New Roman" w:hAnsi="Times New Roman" w:cs="Times New Roman"/>
          <w:sz w:val="24"/>
          <w:szCs w:val="24"/>
        </w:rPr>
        <w:t xml:space="preserve"> Спартакиада работников учреждений, организаций и территориальных отделов, «Кросс нации», «Лыжня России», фестивали по сдаче нормативов ГТО</w:t>
      </w:r>
      <w:r w:rsidR="004F7EA5" w:rsidRPr="00AB07DC">
        <w:rPr>
          <w:rFonts w:ascii="Times New Roman" w:hAnsi="Times New Roman" w:cs="Times New Roman"/>
          <w:sz w:val="24"/>
          <w:szCs w:val="24"/>
        </w:rPr>
        <w:t xml:space="preserve">, </w:t>
      </w:r>
      <w:r w:rsidRPr="00AB07DC">
        <w:rPr>
          <w:rFonts w:ascii="Times New Roman" w:hAnsi="Times New Roman" w:cs="Times New Roman"/>
          <w:sz w:val="24"/>
          <w:szCs w:val="24"/>
        </w:rPr>
        <w:t>соревнования по волейболу, баскетболу, плаванию, мини-футболу, настольному теннису, лёгкой атлетике, лыжным гонкам и другим видам спорта</w:t>
      </w:r>
      <w:r w:rsidR="00197C35">
        <w:rPr>
          <w:rFonts w:ascii="Times New Roman" w:hAnsi="Times New Roman" w:cs="Times New Roman"/>
          <w:sz w:val="24"/>
          <w:szCs w:val="24"/>
        </w:rPr>
        <w:t>.</w:t>
      </w:r>
    </w:p>
    <w:p w:rsidR="00197C35" w:rsidRDefault="00AB07DC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A5" w:rsidRPr="00AB07DC" w:rsidRDefault="00197C35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E137C">
        <w:rPr>
          <w:rFonts w:ascii="Times New Roman" w:hAnsi="Times New Roman" w:cs="Times New Roman"/>
          <w:sz w:val="24"/>
          <w:szCs w:val="24"/>
        </w:rPr>
        <w:t>рганизован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137C">
        <w:rPr>
          <w:rFonts w:ascii="Times New Roman" w:hAnsi="Times New Roman" w:cs="Times New Roman"/>
          <w:sz w:val="24"/>
          <w:szCs w:val="24"/>
        </w:rPr>
        <w:t xml:space="preserve"> и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F7EA5" w:rsidRPr="00AB07DC">
        <w:rPr>
          <w:rFonts w:ascii="Times New Roman" w:hAnsi="Times New Roman" w:cs="Times New Roman"/>
          <w:sz w:val="24"/>
          <w:szCs w:val="24"/>
        </w:rPr>
        <w:t xml:space="preserve"> беседы, круглые столы «Здоровое питание», «Отказ от вредных привычек»</w:t>
      </w:r>
      <w:r w:rsidR="00A53372">
        <w:rPr>
          <w:rFonts w:ascii="Times New Roman" w:hAnsi="Times New Roman" w:cs="Times New Roman"/>
          <w:sz w:val="24"/>
          <w:szCs w:val="24"/>
        </w:rPr>
        <w:t xml:space="preserve">: </w:t>
      </w:r>
      <w:r w:rsidR="004F7EA5" w:rsidRPr="00AB07DC">
        <w:rPr>
          <w:rFonts w:ascii="Times New Roman" w:hAnsi="Times New Roman" w:cs="Times New Roman"/>
          <w:sz w:val="24"/>
          <w:szCs w:val="24"/>
        </w:rPr>
        <w:t>16 лекций, 51 беседа по формированию здорового образа жизни.</w:t>
      </w:r>
    </w:p>
    <w:p w:rsidR="004F7EA5" w:rsidRDefault="004F7EA5" w:rsidP="00C83836">
      <w:pPr>
        <w:pStyle w:val="ConsPlusNormal"/>
        <w:ind w:right="-2" w:firstLine="709"/>
        <w:jc w:val="both"/>
      </w:pPr>
    </w:p>
    <w:p w:rsidR="003859F6" w:rsidRPr="00F439C0" w:rsidRDefault="003859F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1B0">
        <w:rPr>
          <w:rFonts w:ascii="Times New Roman" w:hAnsi="Times New Roman" w:cs="Times New Roman"/>
          <w:sz w:val="24"/>
          <w:szCs w:val="24"/>
        </w:rPr>
        <w:t xml:space="preserve">Во всех общеобразовательных организациях обеспечен охват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C31B0">
        <w:rPr>
          <w:rFonts w:ascii="Times New Roman" w:hAnsi="Times New Roman" w:cs="Times New Roman"/>
          <w:sz w:val="24"/>
          <w:szCs w:val="24"/>
        </w:rPr>
        <w:t xml:space="preserve"> горячим питанием (100%).</w:t>
      </w:r>
    </w:p>
    <w:p w:rsidR="00C83836" w:rsidRDefault="00C83836" w:rsidP="00C8383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Default="00C83836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225" w:rsidRDefault="00C83836" w:rsidP="004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25"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4B6225" w:rsidRPr="004B6225">
        <w:rPr>
          <w:rFonts w:ascii="Times New Roman" w:hAnsi="Times New Roman" w:cs="Times New Roman"/>
          <w:sz w:val="24"/>
          <w:szCs w:val="24"/>
        </w:rPr>
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</w:r>
      <w:r w:rsidR="004B6225">
        <w:rPr>
          <w:rFonts w:ascii="Times New Roman" w:hAnsi="Times New Roman" w:cs="Times New Roman"/>
          <w:sz w:val="24"/>
          <w:szCs w:val="24"/>
        </w:rPr>
        <w:t>.</w:t>
      </w:r>
    </w:p>
    <w:p w:rsidR="000D623B" w:rsidRDefault="000D623B" w:rsidP="004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225" w:rsidRPr="00AB07DC" w:rsidRDefault="000D623B" w:rsidP="004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DC">
        <w:rPr>
          <w:rFonts w:ascii="Times New Roman" w:hAnsi="Times New Roman" w:cs="Times New Roman"/>
          <w:sz w:val="24"/>
          <w:szCs w:val="24"/>
        </w:rPr>
        <w:t>Организовано проведение профилактических осмотров и диспансеризации населения.</w:t>
      </w:r>
    </w:p>
    <w:p w:rsidR="000D623B" w:rsidRPr="004B6225" w:rsidRDefault="000D623B" w:rsidP="004B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Pr="003859F6" w:rsidRDefault="004B6225" w:rsidP="003859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9F6">
        <w:rPr>
          <w:rFonts w:ascii="Times New Roman" w:hAnsi="Times New Roman" w:cs="Times New Roman"/>
          <w:sz w:val="24"/>
          <w:szCs w:val="24"/>
        </w:rPr>
        <w:t>Основное мероприятие 3</w:t>
      </w:r>
      <w:r w:rsidR="00C83836" w:rsidRPr="003859F6">
        <w:rPr>
          <w:rFonts w:ascii="Times New Roman" w:hAnsi="Times New Roman" w:cs="Times New Roman"/>
          <w:sz w:val="24"/>
          <w:szCs w:val="24"/>
        </w:rPr>
        <w:t>.</w:t>
      </w:r>
      <w:r w:rsidRPr="003859F6">
        <w:rPr>
          <w:rFonts w:ascii="Times New Roman" w:hAnsi="Times New Roman" w:cs="Times New Roman"/>
          <w:sz w:val="24"/>
          <w:szCs w:val="24"/>
        </w:rPr>
        <w:t xml:space="preserve"> Ограничение распространения табачных изделий и алкоголя на территории Порецкого муниципального округа</w:t>
      </w:r>
      <w:r w:rsidR="003859F6" w:rsidRPr="003859F6">
        <w:rPr>
          <w:rFonts w:ascii="Times New Roman" w:hAnsi="Times New Roman" w:cs="Times New Roman"/>
          <w:sz w:val="24"/>
          <w:szCs w:val="24"/>
        </w:rPr>
        <w:t>.</w:t>
      </w:r>
    </w:p>
    <w:p w:rsidR="004B6225" w:rsidRDefault="004B6225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225" w:rsidRPr="00AB07DC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DC">
        <w:rPr>
          <w:rFonts w:ascii="Times New Roman" w:hAnsi="Times New Roman" w:cs="Times New Roman"/>
          <w:sz w:val="24"/>
          <w:szCs w:val="24"/>
        </w:rPr>
        <w:t xml:space="preserve">Осуществлялся </w:t>
      </w:r>
      <w:proofErr w:type="gramStart"/>
      <w:r w:rsidRPr="00AB07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07DC">
        <w:rPr>
          <w:rFonts w:ascii="Times New Roman" w:hAnsi="Times New Roman" w:cs="Times New Roman"/>
          <w:sz w:val="24"/>
          <w:szCs w:val="24"/>
        </w:rPr>
        <w:t xml:space="preserve"> ограничением торговли табачной продукцией и алкоголем</w:t>
      </w:r>
      <w:r w:rsidR="00AB07DC">
        <w:rPr>
          <w:rFonts w:ascii="Times New Roman" w:hAnsi="Times New Roman" w:cs="Times New Roman"/>
          <w:sz w:val="24"/>
          <w:szCs w:val="24"/>
        </w:rPr>
        <w:t>.</w:t>
      </w:r>
    </w:p>
    <w:p w:rsidR="000D623B" w:rsidRPr="00F439C0" w:rsidRDefault="000D623B" w:rsidP="00C8383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Default="004B6225" w:rsidP="00C83836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39C0">
        <w:rPr>
          <w:rFonts w:ascii="Times New Roman" w:hAnsi="Times New Roman" w:cs="Times New Roman"/>
          <w:sz w:val="24"/>
          <w:szCs w:val="24"/>
        </w:rPr>
        <w:t>.</w:t>
      </w:r>
      <w:r w:rsidR="003859F6" w:rsidRPr="003859F6">
        <w:t xml:space="preserve"> </w:t>
      </w:r>
      <w:r w:rsidR="003859F6" w:rsidRPr="003859F6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="003859F6" w:rsidRPr="003859F6">
        <w:rPr>
          <w:rFonts w:ascii="Times New Roman" w:hAnsi="Times New Roman" w:cs="Times New Roman"/>
          <w:sz w:val="24"/>
          <w:szCs w:val="24"/>
        </w:rPr>
        <w:t>распространенности факторов риска неинфекционных заболеваний территории Порецкого муниципального округа</w:t>
      </w:r>
      <w:proofErr w:type="gramEnd"/>
      <w:r w:rsidR="003859F6" w:rsidRPr="003859F6">
        <w:rPr>
          <w:rFonts w:ascii="Times New Roman" w:hAnsi="Times New Roman" w:cs="Times New Roman"/>
          <w:sz w:val="24"/>
          <w:szCs w:val="24"/>
        </w:rPr>
        <w:t>.</w:t>
      </w:r>
    </w:p>
    <w:p w:rsidR="003859F6" w:rsidRPr="00AB07DC" w:rsidRDefault="000D623B" w:rsidP="00C83836">
      <w:pPr>
        <w:spacing w:line="240" w:lineRule="auto"/>
        <w:ind w:right="-2"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B07DC">
        <w:rPr>
          <w:rFonts w:ascii="Times New Roman" w:hAnsi="Times New Roman" w:cs="Times New Roman"/>
          <w:sz w:val="24"/>
          <w:szCs w:val="24"/>
        </w:rPr>
        <w:t>Проведено анкетирование в целях выявления масштабов потребления табака среди населения</w:t>
      </w:r>
      <w:r w:rsidR="00AB07DC">
        <w:rPr>
          <w:rFonts w:ascii="Times New Roman" w:hAnsi="Times New Roman" w:cs="Times New Roman"/>
          <w:sz w:val="24"/>
          <w:szCs w:val="24"/>
        </w:rPr>
        <w:t>.</w:t>
      </w:r>
    </w:p>
    <w:p w:rsidR="00C83836" w:rsidRPr="00E14E43" w:rsidRDefault="00C83836" w:rsidP="00C83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836" w:rsidRPr="00E14E43" w:rsidRDefault="00C83836" w:rsidP="00C838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2E07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836" w:rsidRPr="00E14E43" w:rsidRDefault="00C83836" w:rsidP="00C83836">
      <w:pPr>
        <w:pStyle w:val="af0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E14E43">
        <w:rPr>
          <w:rFonts w:eastAsia="Calibri"/>
          <w:b/>
          <w:lang w:eastAsia="en-US"/>
        </w:rPr>
        <w:t>Результаты использования бюджетных ассигнований бюджета Порецкого</w:t>
      </w:r>
      <w:r w:rsidRPr="000863B3">
        <w:t xml:space="preserve"> </w:t>
      </w:r>
      <w:r w:rsidRPr="000863B3">
        <w:rPr>
          <w:b/>
        </w:rPr>
        <w:t>муниципального округа</w:t>
      </w:r>
      <w:r w:rsidRPr="00E14E43">
        <w:rPr>
          <w:rFonts w:eastAsia="Calibri"/>
          <w:b/>
          <w:lang w:eastAsia="en-US"/>
        </w:rPr>
        <w:t>, местных бюджетов и иных средств на реализацию муниципальной программы</w:t>
      </w:r>
    </w:p>
    <w:p w:rsidR="00C83836" w:rsidRPr="00E14E43" w:rsidRDefault="00C83836" w:rsidP="00C83836">
      <w:pPr>
        <w:pStyle w:val="af0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</w:p>
    <w:p w:rsidR="00C83836" w:rsidRPr="00E14E43" w:rsidRDefault="00C83836" w:rsidP="00C83836">
      <w:pPr>
        <w:pStyle w:val="af0"/>
        <w:widowControl w:val="0"/>
        <w:pBdr>
          <w:bottom w:val="single" w:sz="4" w:space="31" w:color="FFFFFF"/>
        </w:pBdr>
        <w:ind w:left="0" w:firstLine="567"/>
        <w:jc w:val="both"/>
      </w:pPr>
      <w:r w:rsidRPr="00E14E43">
        <w:t>Всего на реализацию муниципальной программы в 202</w:t>
      </w:r>
      <w:r>
        <w:t>3</w:t>
      </w:r>
      <w:r w:rsidRPr="00E14E43">
        <w:t xml:space="preserve"> году за счет всех источников финансирования направлено  </w:t>
      </w:r>
      <w:r w:rsidR="00254182">
        <w:t>2</w:t>
      </w:r>
      <w:r w:rsidRPr="00E14E43">
        <w:t>,</w:t>
      </w:r>
      <w:r>
        <w:t>0</w:t>
      </w:r>
      <w:r w:rsidRPr="00E14E43">
        <w:t xml:space="preserve"> тыс. рублей.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492"/>
        <w:gridCol w:w="3191"/>
      </w:tblGrid>
      <w:tr w:rsidR="00C83836" w:rsidRPr="00E14E43" w:rsidTr="006C2B34"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C83836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C3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C83836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C3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3836" w:rsidRPr="00E14E43" w:rsidTr="006C2B34"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C83836" w:rsidRPr="00E14E43" w:rsidRDefault="000929E9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3836"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38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C83836" w:rsidRPr="00E14E43" w:rsidRDefault="000929E9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3836"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38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836" w:rsidRPr="00E14E43" w:rsidTr="006C2B34">
        <w:trPr>
          <w:trHeight w:val="363"/>
        </w:trPr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836" w:rsidRPr="00E14E43" w:rsidTr="006C2B34">
        <w:trPr>
          <w:trHeight w:val="363"/>
        </w:trPr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36" w:rsidRPr="00E14E43" w:rsidTr="006C2B34">
        <w:trPr>
          <w:trHeight w:val="363"/>
        </w:trPr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36" w:rsidRPr="00E14E43" w:rsidTr="006C2B34"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Порецкого </w:t>
            </w:r>
            <w:r w:rsidRPr="0074529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492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C83836" w:rsidRDefault="00C83836" w:rsidP="006C2B34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36" w:rsidRPr="00E14E43" w:rsidTr="006C2B34">
        <w:tc>
          <w:tcPr>
            <w:tcW w:w="3887" w:type="dxa"/>
            <w:shd w:val="clear" w:color="auto" w:fill="auto"/>
          </w:tcPr>
          <w:p w:rsidR="00C83836" w:rsidRPr="00E14E43" w:rsidRDefault="00C83836" w:rsidP="006C2B34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C83836" w:rsidRDefault="000929E9" w:rsidP="006C2B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3836"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shd w:val="clear" w:color="auto" w:fill="auto"/>
          </w:tcPr>
          <w:p w:rsidR="00C83836" w:rsidRDefault="000929E9" w:rsidP="006C2B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3836"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83836" w:rsidRPr="00E14E43" w:rsidRDefault="00C83836" w:rsidP="00C83836">
      <w:pPr>
        <w:tabs>
          <w:tab w:val="left" w:pos="426"/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3836" w:rsidRPr="00E14E43" w:rsidRDefault="00C83836" w:rsidP="00C83836">
      <w:pPr>
        <w:numPr>
          <w:ilvl w:val="0"/>
          <w:numId w:val="1"/>
        </w:numPr>
        <w:tabs>
          <w:tab w:val="clear" w:pos="987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4E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C83836" w:rsidRDefault="00C83836" w:rsidP="00C83836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4E43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</w:t>
      </w:r>
      <w:r w:rsidR="004B62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4E43">
        <w:rPr>
          <w:rFonts w:ascii="Times New Roman" w:eastAsia="Calibri" w:hAnsi="Times New Roman" w:cs="Times New Roman"/>
          <w:sz w:val="24"/>
          <w:szCs w:val="24"/>
          <w:lang w:eastAsia="en-US"/>
        </w:rPr>
        <w:t>отражены  по форме согласно приложению № 1 к докладу.</w:t>
      </w:r>
    </w:p>
    <w:p w:rsidR="00A53372" w:rsidRDefault="00A53372" w:rsidP="00C83836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794"/>
        <w:gridCol w:w="1134"/>
        <w:gridCol w:w="4641"/>
      </w:tblGrid>
      <w:tr w:rsidR="00C83836" w:rsidTr="006C2B34">
        <w:tc>
          <w:tcPr>
            <w:tcW w:w="3794" w:type="dxa"/>
          </w:tcPr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социальным вопросам -  </w:t>
            </w: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</w:t>
            </w: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134" w:type="dxa"/>
          </w:tcPr>
          <w:p w:rsidR="00C83836" w:rsidRPr="00351628" w:rsidRDefault="00C83836" w:rsidP="006C2B34">
            <w:pPr>
              <w:pStyle w:val="af2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</w:pPr>
          </w:p>
        </w:tc>
        <w:tc>
          <w:tcPr>
            <w:tcW w:w="4641" w:type="dxa"/>
          </w:tcPr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  Е.А. </w:t>
            </w:r>
          </w:p>
          <w:p w:rsidR="00C83836" w:rsidRPr="00351628" w:rsidRDefault="00C83836" w:rsidP="006C2B34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36" w:rsidRPr="00376989" w:rsidRDefault="00C83836" w:rsidP="00C8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Pr="00376989" w:rsidRDefault="00C83836" w:rsidP="00C8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836" w:rsidRPr="00376989" w:rsidRDefault="00C83836" w:rsidP="00C8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9606" w:type="dxa"/>
        <w:tblLook w:val="04A0"/>
      </w:tblPr>
      <w:tblGrid>
        <w:gridCol w:w="3936"/>
        <w:gridCol w:w="5670"/>
      </w:tblGrid>
      <w:tr w:rsidR="00C83836" w:rsidRPr="00376989" w:rsidTr="006C2B34">
        <w:tc>
          <w:tcPr>
            <w:tcW w:w="3936" w:type="dxa"/>
            <w:shd w:val="clear" w:color="auto" w:fill="auto"/>
          </w:tcPr>
          <w:p w:rsidR="00C83836" w:rsidRPr="00376989" w:rsidRDefault="00C83836" w:rsidP="002F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3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.03.2023 </w:t>
            </w:r>
          </w:p>
        </w:tc>
        <w:tc>
          <w:tcPr>
            <w:tcW w:w="5670" w:type="dxa"/>
            <w:shd w:val="clear" w:color="auto" w:fill="auto"/>
          </w:tcPr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36" w:rsidRPr="00376989" w:rsidTr="006C2B34">
        <w:tc>
          <w:tcPr>
            <w:tcW w:w="3936" w:type="dxa"/>
            <w:shd w:val="clear" w:color="auto" w:fill="auto"/>
          </w:tcPr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36" w:rsidRPr="00376989" w:rsidTr="006C2B34">
        <w:tc>
          <w:tcPr>
            <w:tcW w:w="3936" w:type="dxa"/>
            <w:shd w:val="clear" w:color="auto" w:fill="auto"/>
          </w:tcPr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</w:tcPr>
          <w:p w:rsidR="00C83836" w:rsidRPr="00351628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</w:t>
            </w:r>
            <w:proofErr w:type="spellStart"/>
            <w:proofErr w:type="gramStart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отдела</w:t>
            </w:r>
            <w:proofErr w:type="spellEnd"/>
            <w:proofErr w:type="gramEnd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культуры, социального развития и архивного дела </w:t>
            </w:r>
          </w:p>
          <w:p w:rsidR="00C83836" w:rsidRPr="00376989" w:rsidRDefault="00C83836" w:rsidP="006C2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Марданова</w:t>
            </w:r>
            <w:proofErr w:type="spellEnd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Эльвира </w:t>
            </w:r>
            <w:proofErr w:type="spellStart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Ильгизаровна</w:t>
            </w:r>
            <w:proofErr w:type="spellEnd"/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, т.8(83543)2-13-63</w:t>
            </w:r>
          </w:p>
        </w:tc>
      </w:tr>
    </w:tbl>
    <w:p w:rsidR="00C83836" w:rsidRDefault="00C83836" w:rsidP="00C83836"/>
    <w:p w:rsidR="00051D9C" w:rsidRDefault="00051D9C"/>
    <w:sectPr w:rsidR="00051D9C" w:rsidSect="00C83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CB" w:rsidRDefault="00B451CB" w:rsidP="00452217">
      <w:pPr>
        <w:pStyle w:val="a6"/>
      </w:pPr>
      <w:r>
        <w:separator/>
      </w:r>
    </w:p>
  </w:endnote>
  <w:endnote w:type="continuationSeparator" w:id="0">
    <w:p w:rsidR="00B451CB" w:rsidRDefault="00B451CB" w:rsidP="00452217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0929E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929E9" w:rsidRDefault="000929E9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929E9" w:rsidRDefault="000929E9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929E9" w:rsidRDefault="000929E9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CB" w:rsidRDefault="00B451CB" w:rsidP="00452217">
      <w:pPr>
        <w:pStyle w:val="a6"/>
      </w:pPr>
      <w:r>
        <w:separator/>
      </w:r>
    </w:p>
  </w:footnote>
  <w:footnote w:type="continuationSeparator" w:id="0">
    <w:p w:rsidR="00B451CB" w:rsidRDefault="00B451CB" w:rsidP="00452217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A885EE7"/>
    <w:multiLevelType w:val="hybridMultilevel"/>
    <w:tmpl w:val="4470D000"/>
    <w:lvl w:ilvl="0" w:tplc="3AAEB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26BE1"/>
    <w:rsid w:val="0003469E"/>
    <w:rsid w:val="00051D9C"/>
    <w:rsid w:val="0006736E"/>
    <w:rsid w:val="000929E9"/>
    <w:rsid w:val="000D623B"/>
    <w:rsid w:val="00197C35"/>
    <w:rsid w:val="001D2A19"/>
    <w:rsid w:val="00226BE1"/>
    <w:rsid w:val="00254182"/>
    <w:rsid w:val="002833FA"/>
    <w:rsid w:val="002E07D3"/>
    <w:rsid w:val="002F157C"/>
    <w:rsid w:val="00327ACF"/>
    <w:rsid w:val="003723B6"/>
    <w:rsid w:val="003826C4"/>
    <w:rsid w:val="003859F6"/>
    <w:rsid w:val="003A04AE"/>
    <w:rsid w:val="00427E50"/>
    <w:rsid w:val="00452217"/>
    <w:rsid w:val="0048375C"/>
    <w:rsid w:val="00486B00"/>
    <w:rsid w:val="004B6225"/>
    <w:rsid w:val="004C753C"/>
    <w:rsid w:val="004E29AB"/>
    <w:rsid w:val="004F7EA5"/>
    <w:rsid w:val="00532EFF"/>
    <w:rsid w:val="00536C3B"/>
    <w:rsid w:val="00540F1D"/>
    <w:rsid w:val="00574AB6"/>
    <w:rsid w:val="006325BA"/>
    <w:rsid w:val="006904CD"/>
    <w:rsid w:val="006978DA"/>
    <w:rsid w:val="006C2B34"/>
    <w:rsid w:val="006D142F"/>
    <w:rsid w:val="006F0305"/>
    <w:rsid w:val="0070760B"/>
    <w:rsid w:val="00716C45"/>
    <w:rsid w:val="00745831"/>
    <w:rsid w:val="007D0A81"/>
    <w:rsid w:val="007E788A"/>
    <w:rsid w:val="00816065"/>
    <w:rsid w:val="008551A0"/>
    <w:rsid w:val="008C7653"/>
    <w:rsid w:val="00902247"/>
    <w:rsid w:val="009A6951"/>
    <w:rsid w:val="009C31B0"/>
    <w:rsid w:val="009D1019"/>
    <w:rsid w:val="00A2665A"/>
    <w:rsid w:val="00A53372"/>
    <w:rsid w:val="00AB07DC"/>
    <w:rsid w:val="00AC1F00"/>
    <w:rsid w:val="00AD02EC"/>
    <w:rsid w:val="00AD368C"/>
    <w:rsid w:val="00B30702"/>
    <w:rsid w:val="00B43844"/>
    <w:rsid w:val="00B451CB"/>
    <w:rsid w:val="00B939A4"/>
    <w:rsid w:val="00C241A7"/>
    <w:rsid w:val="00C30FD5"/>
    <w:rsid w:val="00C552AE"/>
    <w:rsid w:val="00C83836"/>
    <w:rsid w:val="00CE0CD3"/>
    <w:rsid w:val="00D03880"/>
    <w:rsid w:val="00EB62F4"/>
    <w:rsid w:val="00ED0464"/>
    <w:rsid w:val="00EF399F"/>
    <w:rsid w:val="00F37210"/>
    <w:rsid w:val="00F855A5"/>
    <w:rsid w:val="00F93432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17"/>
  </w:style>
  <w:style w:type="paragraph" w:styleId="1">
    <w:name w:val="heading 1"/>
    <w:basedOn w:val="a"/>
    <w:next w:val="a"/>
    <w:link w:val="10"/>
    <w:uiPriority w:val="99"/>
    <w:qFormat/>
    <w:rsid w:val="00226B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6BE1"/>
    <w:rPr>
      <w:rFonts w:cs="Times New Roman"/>
      <w:b/>
      <w:bCs w:val="0"/>
      <w:color w:val="106BBE"/>
    </w:rPr>
  </w:style>
  <w:style w:type="paragraph" w:styleId="a4">
    <w:name w:val="No Spacing"/>
    <w:uiPriority w:val="1"/>
    <w:qFormat/>
    <w:rsid w:val="00226B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26BE1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226BE1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26B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26BE1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427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7E50"/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4E29A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2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266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8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3836"/>
  </w:style>
  <w:style w:type="paragraph" w:styleId="af0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1"/>
    <w:uiPriority w:val="34"/>
    <w:qFormat/>
    <w:rsid w:val="00C83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0"/>
    <w:uiPriority w:val="34"/>
    <w:locked/>
    <w:rsid w:val="00C8383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C83836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838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0D623B"/>
    <w:pPr>
      <w:suppressAutoHyphens/>
      <w:spacing w:after="0" w:line="240" w:lineRule="auto"/>
    </w:pPr>
    <w:rPr>
      <w:rFonts w:ascii="Calibri" w:eastAsia="SimSun" w:hAnsi="Calibri" w:cs="Calibri"/>
      <w:kern w:val="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7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71578/1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mio1</cp:lastModifiedBy>
  <cp:revision>6</cp:revision>
  <dcterms:created xsi:type="dcterms:W3CDTF">2024-03-07T06:54:00Z</dcterms:created>
  <dcterms:modified xsi:type="dcterms:W3CDTF">2024-03-11T13:38:00Z</dcterms:modified>
</cp:coreProperties>
</file>