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4820" w:leader="none"/>
          <w:tab w:val="left" w:pos="567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вопросов, поступивших </w:t>
      </w:r>
      <w:r>
        <w:rPr>
          <w:rFonts w:cs="Times New Roman" w:ascii="Times New Roman" w:hAnsi="Times New Roman"/>
          <w:b/>
          <w:sz w:val="24"/>
          <w:szCs w:val="24"/>
        </w:rPr>
        <w:t>16 апреля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2025</w:t>
      </w:r>
      <w:r>
        <w:rPr>
          <w:rFonts w:cs="Times New Roman" w:ascii="Times New Roman" w:hAnsi="Times New Roman"/>
          <w:sz w:val="24"/>
          <w:szCs w:val="24"/>
        </w:rPr>
        <w:t xml:space="preserve"> года в ходе проведения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Единого информационного дня в городе Новочебоксарске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ff4"/>
        <w:tblW w:w="10915" w:type="dxa"/>
        <w:jc w:val="left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2156"/>
        <w:gridCol w:w="3514"/>
        <w:gridCol w:w="4678"/>
      </w:tblGrid>
      <w:tr>
        <w:trPr>
          <w:trHeight w:val="790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заявитель (организация)</w:t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суть обращения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Ответ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56" w:type="dxa"/>
            <w:vMerge w:val="restart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АО «Чебоксары Лада»</w:t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Как продвигается очередь на льготное приобретение жилья для молодых семей?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В 2025 году молодым семьям выданы 18 свидетельств о праве на получение социальной выплаты на приобретение (строительство) жилья. Сумма выплат составила  47,4 млн.руб.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В 2024 году улучшили 32 молодые семьи: сумма социальны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х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выплат составила 58,2 млн.руб.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156" w:type="dxa"/>
            <w:vMerge w:val="continue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Просьба провести разъяснительную работу про профилактике пожаров в СНТ, расположенном в районе санатория «Надежда»</w:t>
            </w:r>
          </w:p>
        </w:tc>
        <w:tc>
          <w:tcPr>
            <w:tcW w:w="4678" w:type="dxa"/>
            <w:tcBorders/>
          </w:tcPr>
          <w:p>
            <w:pPr>
              <w:pStyle w:val="Style18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В преддверии пожароопасного периода на территории города, в том числе СНТ работала административная комиссия по выявлению нарушений противопожарного режима. С жителями СНТ проведена профилактическая беседа, распространялись информационные материалы. На нарушителей составлены административные протоколы.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156" w:type="dxa"/>
            <w:vMerge w:val="continue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Просьба поставить защитные экраны на автомойке напротив АО «Чебоксары-Лада»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</w:rPr>
            </w:pPr>
            <w:bookmarkStart w:id="0" w:name="_GoBack"/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Собственнику автомойки рекомендовано установить защитные экраны</w:t>
            </w:r>
            <w:bookmarkEnd w:id="0"/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156" w:type="dxa"/>
            <w:vMerge w:val="continue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Что планируется на площадке дворовой территории микрорайона «Спутник»?</w:t>
            </w:r>
          </w:p>
        </w:tc>
        <w:tc>
          <w:tcPr>
            <w:tcW w:w="4678" w:type="dxa"/>
            <w:tcBorders/>
          </w:tcPr>
          <w:p>
            <w:pPr>
              <w:pStyle w:val="Style101"/>
              <w:widowControl w:val="false"/>
              <w:tabs>
                <w:tab w:val="clear" w:pos="708"/>
                <w:tab w:val="left" w:pos="691" w:leader="none"/>
              </w:tabs>
              <w:suppressAutoHyphens w:val="true"/>
              <w:spacing w:lineRule="auto" w:line="240" w:before="0" w:after="0"/>
              <w:ind w:right="-1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В соответствии со статьей 36 Жилищного кодекса Российской Федерации  (далее - ЖК РФ) земельный участок, на котором расположен многоквартирный дом  с элементами благоустройства, входит в состав его общего долевого имущества и принадлежит на праве общей долевой собственности собственникам помещений в многоквартирном доме.</w:t>
            </w:r>
          </w:p>
          <w:p>
            <w:pPr>
              <w:pStyle w:val="Style101"/>
              <w:widowControl w:val="false"/>
              <w:tabs>
                <w:tab w:val="clear" w:pos="708"/>
                <w:tab w:val="left" w:pos="691" w:leader="none"/>
              </w:tabs>
              <w:suppressAutoHyphens w:val="true"/>
              <w:spacing w:lineRule="auto" w:line="240" w:before="0" w:after="0"/>
              <w:ind w:right="-1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          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Принятие решений о переделах элементов благоустройства, относится к компетенции общего собрания собственников помещений, являющегося в соответствии со статьей 44 ЖК РФ органом управления многоквартирным домом.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156" w:type="dxa"/>
            <w:vMerge w:val="continue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Когда планируется ремонт дорожного покрытия рядом со швейной фабрике «Пике»?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Ремонт а/д планируется в 2027-2028 гг. при условии финансирования.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156" w:type="dxa"/>
            <w:vMerge w:val="restart"/>
            <w:tcBorders/>
          </w:tcPr>
          <w:p>
            <w:pPr>
              <w:pStyle w:val="2"/>
              <w:widowControl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ООО «Хевел»</w:t>
            </w:r>
          </w:p>
          <w:p>
            <w:pPr>
              <w:pStyle w:val="Normal"/>
              <w:widowControl/>
              <w:spacing w:before="0" w:after="20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Необходим ремонт пешеходного тротуара по ул. Восточная.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Ремонт тротуара включен в список для ремонта. При финансировании ремонтных работ ремонт будет произведен.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156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Планируется ли благоустройство футбольной площадки по ул. Восточная?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Благоустройство футбольной площадки по               ул. Восточная не планируется.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156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 чьем обслуживании находится детская площадка по Соборной площади?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Площадка по Соборной площади находится на обслуживании администрации города Новочебоксарска.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2156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Просьба разъяснить порядок предоставления земельных участков участникам СВО.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bCs/>
                <w:color w:val="22272F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Порядок постановки на учет граждан в качестве лиц, имеющих право на предоставление земельных участков в соответствии в собственность бесплатно определен Законом Чувашской Республики от 23.11.2023 г. № 82. Подробную информацию по данному вопросу можно получить по телефонам администрации города 73-25-19, 73-22-49, 74-03-52</w:t>
            </w:r>
          </w:p>
        </w:tc>
      </w:tr>
      <w:tr>
        <w:trPr>
          <w:trHeight w:val="987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2156" w:type="dxa"/>
            <w:vMerge w:val="restart"/>
            <w:tcBorders/>
          </w:tcPr>
          <w:p>
            <w:pPr>
              <w:pStyle w:val="2"/>
              <w:widowControl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МБУ «Спортивная школа № 2»</w:t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Просьба провести инвентаризацию спортивных объектов, расположенных на территории города.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В ходе еженедельного обхода городских территорий в текущем году в целях обследования общественных пространств и дворовых территорий, специалистами администрации города Новочебоксарска совместно с руководителями управляющих компаний и обслуживающих организаций будет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проведена инвентаризация спортивных объектов, расположенных на территории города, в том числе и на предмет безопасности.</w:t>
            </w:r>
          </w:p>
        </w:tc>
      </w:tr>
      <w:tr>
        <w:trPr>
          <w:trHeight w:val="274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2156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 отделения легкой атлетики недостаточно помещений для проведения тренировок. Планируется ли приобретение быстровозводимых сооружений для занятий легкой атлетики?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На сегодняшний день разработан эскизный проект «Строительство многофункционального спортивного комплекса МБУ ДО «Спортивная школа №2» в городе Новочебоксарске Чувашской Республики», ПСД отсутствует. Предварительная стоимость объекта составляет 271,5 млн. рублей.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Реализации данного объекта, как и его финансирование из республиканского бюджета Чувашской Республики не возможны без включения его в Комплексную программу социально-экономического развития Чувашской Республики на 2025-2030 годы. В связи с этим администрацией города направлена заявка в Минэкономразвития Чувашии.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2156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Когда планируется реконструкция  Центрального стадиона?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объекту «Реконструкция Центрального стадиона им. А.Г. Николаева» Минстроем Чувашии направлены предложения в Минфин Чувашии в 2024 году о снятии финансирования с данного объекта. Заказчиком КУ ЧР «Республиканская служба единого заказчика» контракт расторгнут, 15 октября 2024 года в адрес подрядной организации ООО «Отделфинстройпроект» направлено решение об одностороннем отказе Заказчика от исполнения Государственного контракта №262. В настоящее время, в республиканском бюджете Чувашской Республики на 2025 год финансирование по данному объекту не предусмотрено.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</w:t>
            </w:r>
          </w:p>
        </w:tc>
        <w:tc>
          <w:tcPr>
            <w:tcW w:w="2156" w:type="dxa"/>
            <w:tcBorders/>
          </w:tcPr>
          <w:p>
            <w:pPr>
              <w:pStyle w:val="2"/>
              <w:widowControl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МБУ «Спортивная школа № 1»</w:t>
            </w:r>
          </w:p>
        </w:tc>
        <w:tc>
          <w:tcPr>
            <w:tcW w:w="3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Имеется проект на строительство Центра спортивной гимнастики, необходима его повторная экспертиза. Планируется ли реализация проекта?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Имеется проект на строительство Центра спортивной гимнастики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 в г. Новочебоксарске, который ранее был направлен на проведение экспертизы, но не прошел ее. Данный проект доработан в соответствии с предъявленными требованиями. На сегодняшний день необходимо повторное прохождение экспертизы. Предварительная сметная стоимость 1,2 миллиарда рублей.</w:t>
            </w:r>
          </w:p>
        </w:tc>
      </w:tr>
    </w:tbl>
    <w:p>
      <w:pPr>
        <w:pStyle w:val="Normal"/>
        <w:spacing w:lineRule="auto" w:line="240" w:before="0"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-851" w:firstLine="851"/>
        <w:jc w:val="both"/>
        <w:rPr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Сектору пресс-службы разместить ответы на обращения граждан, поступившие в ходе Единого информационного дня, на официальном сайте города Новочебоксарска в разделе «Единые информационные дни» </w:t>
      </w:r>
      <w:r>
        <w:rPr>
          <w:rFonts w:cs="Times New Roman" w:ascii="Times New Roman" w:hAnsi="Times New Roman"/>
          <w:b/>
          <w:sz w:val="24"/>
          <w:szCs w:val="24"/>
        </w:rPr>
        <w:t>Срок: 12.05.2025</w:t>
      </w:r>
    </w:p>
    <w:p>
      <w:pPr>
        <w:pStyle w:val="Normal"/>
        <w:rPr>
          <w:szCs w:val="18"/>
        </w:rPr>
      </w:pPr>
      <w:r>
        <w:rPr>
          <w:szCs w:val="1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Cs w:val="18"/>
        </w:rPr>
      </w:pPr>
      <w:r>
        <w:rPr>
          <w:rFonts w:cs="Times New Roman" w:ascii="Times New Roman" w:hAnsi="Times New Roman"/>
          <w:szCs w:val="18"/>
        </w:rPr>
        <w:t>Иванова М.А.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Cs w:val="18"/>
        </w:rPr>
        <w:t>73-82-53</w:t>
      </w:r>
    </w:p>
    <w:sectPr>
      <w:type w:val="nextPage"/>
      <w:pgSz w:w="11906" w:h="16838"/>
      <w:pgMar w:left="1701" w:right="850" w:gutter="0" w:header="0" w:top="568" w:footer="0" w:bottom="14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Microsoft Sans Serif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4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next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next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next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Интернет-ссылка"/>
    <w:rPr>
      <w:color w:val="000080"/>
      <w:u w:val="single"/>
    </w:rPr>
  </w:style>
  <w:style w:type="character" w:styleId="Style6" w:customStyle="1">
    <w:name w:val="Привязка сноски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7" w:customStyle="1">
    <w:name w:val="Привязка концевой сноски"/>
    <w:rPr>
      <w:vertAlign w:val="superscript"/>
    </w:rPr>
  </w:style>
  <w:style w:type="character" w:styleId="EndnoteCharacters" w:customStyle="1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8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9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21"/>
    <w:uiPriority w:val="29"/>
    <w:qFormat/>
    <w:rPr>
      <w:i/>
    </w:rPr>
  </w:style>
  <w:style w:type="character" w:styleId="Style10" w:customStyle="1">
    <w:name w:val="Выделенная цитата Знак"/>
    <w:uiPriority w:val="30"/>
    <w:qFormat/>
    <w:rPr>
      <w:i/>
    </w:rPr>
  </w:style>
  <w:style w:type="character" w:styleId="Style11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12" w:customStyle="1">
    <w:name w:val="Нижний колонтитул Знак"/>
    <w:uiPriority w:val="99"/>
    <w:qFormat/>
    <w:rPr/>
  </w:style>
  <w:style w:type="character" w:styleId="Style13" w:customStyle="1">
    <w:name w:val="Текст сноски Знак"/>
    <w:uiPriority w:val="99"/>
    <w:qFormat/>
    <w:rPr>
      <w:sz w:val="18"/>
    </w:rPr>
  </w:style>
  <w:style w:type="character" w:styleId="Style14" w:customStyle="1">
    <w:name w:val="Текст концевой сноски Знак"/>
    <w:uiPriority w:val="99"/>
    <w:qFormat/>
    <w:rPr>
      <w:sz w:val="20"/>
    </w:rPr>
  </w:style>
  <w:style w:type="character" w:styleId="Newstitle11" w:customStyle="1">
    <w:name w:val="news_title11"/>
    <w:basedOn w:val="DefaultParagraphFont"/>
    <w:qFormat/>
    <w:rPr>
      <w:rFonts w:ascii="Tahoma" w:hAnsi="Tahoma" w:cs="Tahoma"/>
      <w:b/>
      <w:bCs/>
      <w:color w:val="22227A"/>
      <w:sz w:val="21"/>
      <w:szCs w:val="21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character" w:styleId="Style16">
    <w:name w:val="Выделение"/>
    <w:basedOn w:val="DefaultParagraphFont"/>
    <w:uiPriority w:val="20"/>
    <w:qFormat/>
    <w:rPr>
      <w:i/>
      <w:i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2">
    <w:name w:val="Title"/>
    <w:basedOn w:val="Normal"/>
    <w:next w:val="Style18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next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3">
    <w:name w:val="Subtitle"/>
    <w:basedOn w:val="Normal"/>
    <w:next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3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4" w:customStyle="1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6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7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8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22">
    <w:name w:val="TOC 2"/>
    <w:basedOn w:val="Normal"/>
    <w:next w:val="Normal"/>
    <w:link w:val="22"/>
    <w:uiPriority w:val="39"/>
    <w:unhideWhenUsed/>
    <w:pPr>
      <w:spacing w:before="0" w:after="57"/>
      <w:ind w:left="283" w:hanging="0"/>
    </w:pPr>
    <w:rPr/>
  </w:style>
  <w:style w:type="paragraph" w:styleId="31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41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1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Style29">
    <w:name w:val="Index Heading"/>
    <w:basedOn w:val="Style17"/>
    <w:pPr/>
    <w:rPr/>
  </w:style>
  <w:style w:type="paragraph" w:styleId="Style30">
    <w:name w:val="TOC Heading"/>
    <w:uiPriority w:val="39"/>
    <w:unhideWhenUsed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="0"/>
    </w:pPr>
    <w:rPr/>
  </w:style>
  <w:style w:type="paragraph" w:styleId="12" w:customStyle="1">
    <w:name w:val="Заголовок1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3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2" w:customStyle="1">
    <w:name w:val="Заголовок таблицы"/>
    <w:basedOn w:val="Style31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01" w:customStyle="1">
    <w:name w:val="Style10"/>
    <w:basedOn w:val="Normal"/>
    <w:uiPriority w:val="99"/>
    <w:qFormat/>
    <w:rsid w:val="005f1fd9"/>
    <w:pPr>
      <w:widowControl w:val="false"/>
      <w:spacing w:lineRule="exact" w:line="233" w:before="0" w:after="0"/>
    </w:pPr>
    <w:rPr>
      <w:rFonts w:ascii="Microsoft Sans Serif" w:hAnsi="Microsoft Sans Serif" w:eastAsia="Times New Roman" w:cs="Microsoft Sans Serif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0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FFFFF" w:themeFill="text1" w:themeFillTint="0"/>
      </w:tcPr>
    </w:tblStylePr>
    <w:tblStylePr w:type="band1Horz">
      <w:tblPr/>
      <w:tcPr>
        <w:shd w:val="clear" w:color="F2F2F2" w:fill="FFFFFF" w:themeFill="text1" w:themeFillTint="0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1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FFFFF" w:themeFill="text1" w:themeFillTint="0"/>
      </w:tcPr>
    </w:tblStylePr>
    <w:tblStylePr w:type="band1Horz">
      <w:tblPr/>
      <w:tcPr>
        <w:shd w:val="clear" w:color="F2F2F2" w:fill="FFFFFF" w:themeFill="text1" w:themeFillTint="0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aff4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Application>LibreOffice/7.2.4.1$Windows_X86_64 LibreOffice_project/27d75539669ac387bb498e35313b970b7fe9c4f9</Application>
  <AppVersion>15.0000</AppVersion>
  <Pages>2</Pages>
  <Words>816</Words>
  <Characters>4655</Characters>
  <CharactersWithSpaces>5461</CharactersWithSpaces>
  <Paragraphs>10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2023-02-15T14:19:00Z</dcterms:created>
  <dc:creator>Иванова</dc:creator>
  <dc:description/>
  <dc:language>ru-RU</dc:language>
  <cp:lastModifiedBy/>
  <cp:lastPrinted>2025-06-17T14:21:00Z</cp:lastPrinted>
  <dcterms:modified xsi:type="dcterms:W3CDTF">2025-06-18T08:47:41Z</dcterms:modified>
  <cp:revision>93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