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right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Приложение №1</w:t>
      </w:r>
    </w:p>
    <w:p>
      <w:pPr>
        <w:pStyle w:val="Normal"/>
        <w:widowControl w:val="false"/>
        <w:suppressAutoHyphens w:val="true"/>
        <w:kinsoku w:val="true"/>
        <w:overflowPunct w:val="true"/>
        <w:autoSpaceDE w:val="true"/>
        <w:bidi w:val="0"/>
        <w:jc w:val="right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к письму Администрации Ядринского </w:t>
      </w:r>
    </w:p>
    <w:p>
      <w:pPr>
        <w:pStyle w:val="Normal"/>
        <w:bidi w:val="0"/>
        <w:jc w:val="right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муниципального округа </w:t>
      </w:r>
    </w:p>
    <w:p>
      <w:pPr>
        <w:pStyle w:val="Normal"/>
        <w:bidi w:val="0"/>
        <w:jc w:val="right"/>
        <w:rPr/>
      </w:pPr>
      <w:r>
        <w:rPr>
          <w:b/>
          <w:bCs/>
          <w:sz w:val="20"/>
          <w:szCs w:val="20"/>
          <w:u w:val="single"/>
        </w:rPr>
        <w:t>от  10</w:t>
      </w:r>
      <w:r>
        <w:rPr>
          <w:rFonts w:eastAsia="Lucida Sans Unicode" w:cs="Mangal"/>
          <w:b/>
          <w:bCs/>
          <w:color w:val="auto"/>
          <w:kern w:val="2"/>
          <w:sz w:val="20"/>
          <w:szCs w:val="20"/>
          <w:u w:val="single"/>
          <w:lang w:val="ru-RU" w:eastAsia="zh-CN" w:bidi="hi-IN"/>
        </w:rPr>
        <w:t>.07.</w:t>
      </w:r>
      <w:r>
        <w:rPr>
          <w:b/>
          <w:bCs/>
          <w:sz w:val="20"/>
          <w:szCs w:val="20"/>
          <w:u w:val="single"/>
          <w:lang w:val="ru-RU"/>
        </w:rPr>
        <w:t>2026</w:t>
      </w:r>
      <w:r>
        <w:rPr>
          <w:b/>
          <w:bCs/>
          <w:sz w:val="20"/>
          <w:szCs w:val="20"/>
          <w:u w:val="single"/>
        </w:rPr>
        <w:t xml:space="preserve"> №</w:t>
      </w:r>
      <w:r>
        <w:rPr>
          <w:rFonts w:eastAsia="Lucida Sans Unicode" w:cs="Mangal"/>
          <w:b/>
          <w:bCs/>
          <w:color w:val="auto"/>
          <w:kern w:val="2"/>
          <w:sz w:val="20"/>
          <w:szCs w:val="20"/>
          <w:u w:val="single"/>
          <w:lang w:val="ru-RU" w:eastAsia="zh-CN" w:bidi="hi-IN"/>
        </w:rPr>
        <w:t xml:space="preserve"> б/н</w:t>
      </w:r>
    </w:p>
    <w:p>
      <w:pPr>
        <w:pStyle w:val="Normal"/>
        <w:bidi w:val="0"/>
        <w:jc w:val="right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bidi w:val="0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Оценка выполнения доведенных до муниципальных учреждений муниципальных заданий </w:t>
      </w:r>
    </w:p>
    <w:p>
      <w:pPr>
        <w:pStyle w:val="Normal"/>
        <w:bidi w:val="0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оказание муниципальных услуг (выполнение работ)</w:t>
      </w:r>
    </w:p>
    <w:p>
      <w:pPr>
        <w:pStyle w:val="Normal"/>
        <w:bidi w:val="0"/>
        <w:jc w:val="center"/>
        <w:rPr/>
      </w:pPr>
      <w:r>
        <w:rPr>
          <w:rFonts w:eastAsia="Times New Roman" w:cs="Times New Roman"/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за </w:t>
      </w:r>
      <w:r>
        <w:rPr>
          <w:rFonts w:eastAsia="Lucida Sans Unicode" w:cs="Mangal"/>
          <w:b/>
          <w:bCs/>
          <w:color w:val="auto"/>
          <w:kern w:val="2"/>
          <w:sz w:val="22"/>
          <w:szCs w:val="22"/>
          <w:lang w:val="ru-RU" w:eastAsia="zh-CN" w:bidi="hi-IN"/>
        </w:rPr>
        <w:t>1 полугодие</w:t>
      </w:r>
      <w:r>
        <w:rPr>
          <w:b/>
          <w:bCs/>
          <w:sz w:val="22"/>
          <w:szCs w:val="22"/>
        </w:rPr>
        <w:t xml:space="preserve"> 2026 года</w:t>
      </w:r>
    </w:p>
    <w:tbl>
      <w:tblPr>
        <w:tblW w:w="10302" w:type="dxa"/>
        <w:jc w:val="left"/>
        <w:tblInd w:w="-76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007"/>
        <w:gridCol w:w="1800"/>
        <w:gridCol w:w="1098"/>
        <w:gridCol w:w="1035"/>
        <w:gridCol w:w="1260"/>
        <w:gridCol w:w="855"/>
        <w:gridCol w:w="2247"/>
      </w:tblGrid>
      <w:tr>
        <w:trPr/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  <w:t>Наименование учреждения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  <w:t>Плановое значение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  <w:t>Фактическое значение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  <w:t>Отклонение</w:t>
            </w:r>
          </w:p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  <w:t>(+/-)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  <w:t>Допустимое отклонение по муниципальному заданию %</w:t>
            </w: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  <w:t>Причина отклонения фактического значения от установленного</w:t>
            </w:r>
          </w:p>
        </w:tc>
      </w:tr>
      <w:tr>
        <w:trPr/>
        <w:tc>
          <w:tcPr>
            <w:tcW w:w="2007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left"/>
              <w:rPr>
                <w:b/>
                <w:b/>
                <w:bCs/>
                <w:sz w:val="18"/>
                <w:szCs w:val="18"/>
                <w:shd w:fill="auto" w:val="clear"/>
              </w:rPr>
            </w:pPr>
            <w:r>
              <w:rPr>
                <w:b/>
                <w:bCs/>
                <w:sz w:val="18"/>
                <w:szCs w:val="18"/>
                <w:shd w:fill="auto" w:val="clear"/>
              </w:rPr>
              <w:t>Муниципальное автономное учреждение «Централизованная клубная система» Ядринского муниципального округа Чувашской Республики</w:t>
            </w:r>
          </w:p>
        </w:tc>
        <w:tc>
          <w:tcPr>
            <w:tcW w:w="18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left"/>
              <w:rPr>
                <w:b w:val="false"/>
                <w:b w:val="false"/>
                <w:bCs w:val="false"/>
                <w:sz w:val="18"/>
                <w:szCs w:val="18"/>
                <w:shd w:fill="auto" w:val="clear"/>
              </w:rPr>
            </w:pPr>
            <w:r>
              <w:rPr>
                <w:b w:val="false"/>
                <w:bCs w:val="false"/>
                <w:sz w:val="18"/>
                <w:szCs w:val="18"/>
                <w:shd w:fill="auto" w:val="clear"/>
              </w:rPr>
              <w:t>Организация и проведение культурно-массовых мероприятий</w:t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en-US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en-US" w:eastAsia="zh-CN" w:bidi="hi-IN"/>
              </w:rPr>
              <w:t>2 600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  <w:t>1524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/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  <w:t>+224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8"/>
                <w:szCs w:val="18"/>
                <w:shd w:fill="auto" w:val="clear"/>
              </w:rPr>
            </w:pPr>
            <w:r>
              <w:rPr>
                <w:b w:val="false"/>
                <w:bCs w:val="false"/>
                <w:sz w:val="18"/>
                <w:szCs w:val="18"/>
                <w:shd w:fill="auto" w:val="clear"/>
              </w:rPr>
              <w:t>20,00</w:t>
            </w:r>
          </w:p>
        </w:tc>
        <w:tc>
          <w:tcPr>
            <w:tcW w:w="2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/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  <w:t xml:space="preserve">1300 </w:t>
            </w: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 xml:space="preserve">в квартал, </w:t>
            </w:r>
          </w:p>
          <w:p>
            <w:pPr>
              <w:pStyle w:val="Style20"/>
              <w:bidi w:val="0"/>
              <w:snapToGrid w:val="false"/>
              <w:jc w:val="center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в пределах  установленного</w:t>
            </w:r>
          </w:p>
          <w:p>
            <w:pPr>
              <w:pStyle w:val="Style20"/>
              <w:bidi w:val="0"/>
              <w:snapToGrid w:val="false"/>
              <w:jc w:val="center"/>
              <w:rPr>
                <w:rFonts w:eastAsia="Times New Roman" w:cs="Times New Roman"/>
                <w:b w:val="false"/>
                <w:b w:val="false"/>
                <w:bCs w:val="false"/>
                <w:color w:val="000000"/>
                <w:kern w:val="0"/>
                <w:sz w:val="18"/>
                <w:szCs w:val="18"/>
                <w:shd w:fill="FFFF00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FFFF00" w:val="clear"/>
                <w:lang w:val="ru-RU" w:eastAsia="ru-RU" w:bidi="ar-SA"/>
              </w:rPr>
            </w:r>
          </w:p>
        </w:tc>
      </w:tr>
      <w:tr>
        <w:trPr/>
        <w:tc>
          <w:tcPr>
            <w:tcW w:w="20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left"/>
              <w:rPr>
                <w:rFonts w:eastAsia="Times New Roman" w:cs="Times New Roman"/>
                <w:b w:val="false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</w:r>
          </w:p>
        </w:tc>
        <w:tc>
          <w:tcPr>
            <w:tcW w:w="18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left"/>
              <w:rPr>
                <w:b w:val="false"/>
                <w:b w:val="false"/>
                <w:bCs w:val="false"/>
                <w:sz w:val="18"/>
                <w:szCs w:val="18"/>
                <w:shd w:fill="auto" w:val="clear"/>
              </w:rPr>
            </w:pPr>
            <w:r>
              <w:rPr>
                <w:b w:val="false"/>
                <w:bCs w:val="false"/>
                <w:sz w:val="18"/>
                <w:szCs w:val="18"/>
                <w:shd w:fill="auto" w:val="clear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8"/>
                <w:szCs w:val="18"/>
                <w:shd w:fill="auto" w:val="clear"/>
              </w:rPr>
            </w:pPr>
            <w:r>
              <w:rPr>
                <w:b w:val="false"/>
                <w:bCs w:val="false"/>
                <w:sz w:val="18"/>
                <w:szCs w:val="18"/>
                <w:shd w:fill="auto" w:val="clear"/>
              </w:rPr>
              <w:t>201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  <w:t>201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8"/>
                <w:szCs w:val="18"/>
                <w:shd w:fill="auto" w:val="clear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shd w:fill="auto" w:val="clear"/>
                <w:lang w:val="ru-RU"/>
              </w:rPr>
              <w:t>0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  <w:t>15,00</w:t>
            </w:r>
          </w:p>
        </w:tc>
        <w:tc>
          <w:tcPr>
            <w:tcW w:w="2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b w:val="false"/>
                <w:b w:val="false"/>
                <w:bCs w:val="false"/>
                <w:sz w:val="18"/>
                <w:szCs w:val="18"/>
                <w:shd w:fill="auto" w:val="clear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shd w:fill="auto" w:val="clear"/>
                <w:lang w:val="ru-RU"/>
              </w:rPr>
            </w:r>
          </w:p>
        </w:tc>
      </w:tr>
      <w:tr>
        <w:trPr/>
        <w:tc>
          <w:tcPr>
            <w:tcW w:w="20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left"/>
              <w:rPr>
                <w:b w:val="false"/>
                <w:b w:val="false"/>
                <w:bCs w:val="false"/>
                <w:sz w:val="18"/>
                <w:szCs w:val="18"/>
                <w:shd w:fill="auto" w:val="clear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shd w:fill="auto" w:val="clear"/>
                <w:lang w:val="ru-RU"/>
              </w:rPr>
            </w:r>
          </w:p>
        </w:tc>
        <w:tc>
          <w:tcPr>
            <w:tcW w:w="18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left"/>
              <w:rPr>
                <w:b w:val="false"/>
                <w:b w:val="false"/>
                <w:bCs w:val="false"/>
                <w:color w:val="000000"/>
                <w:sz w:val="18"/>
                <w:szCs w:val="18"/>
                <w:shd w:fill="auto" w:val="clear"/>
                <w:lang w:val="ru-RU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  <w:shd w:fill="auto" w:val="clear"/>
                <w:lang w:val="ru-RU"/>
              </w:rPr>
              <w:t>Количество участников</w:t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b w:val="false"/>
                <w:b w:val="false"/>
                <w:bCs w:val="false"/>
                <w:color w:val="000000"/>
                <w:sz w:val="18"/>
                <w:szCs w:val="18"/>
                <w:shd w:fill="auto" w:val="clear"/>
                <w:lang w:val="ru-RU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  <w:shd w:fill="auto" w:val="clear"/>
                <w:lang w:val="ru-RU"/>
              </w:rPr>
              <w:t>193 100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  <w:t>98861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/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  <w:t>+2311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b w:val="false"/>
                <w:b w:val="false"/>
                <w:bCs w:val="false"/>
                <w:color w:val="000000"/>
                <w:sz w:val="18"/>
                <w:szCs w:val="18"/>
                <w:shd w:fill="auto" w:val="clear"/>
                <w:lang w:val="ru-RU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  <w:shd w:fill="auto" w:val="clear"/>
                <w:lang w:val="ru-RU"/>
              </w:rPr>
              <w:t>20,0</w:t>
            </w:r>
          </w:p>
        </w:tc>
        <w:tc>
          <w:tcPr>
            <w:tcW w:w="2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 xml:space="preserve">96550 </w:t>
            </w: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 xml:space="preserve">в квартал, </w:t>
            </w:r>
          </w:p>
          <w:p>
            <w:pPr>
              <w:pStyle w:val="Style20"/>
              <w:bidi w:val="0"/>
              <w:snapToGrid w:val="false"/>
              <w:jc w:val="center"/>
              <w:rPr>
                <w:rFonts w:eastAsia="Times New Roman" w:cs="Times New Roman"/>
                <w:b w:val="false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в пределах  установленного</w:t>
            </w:r>
          </w:p>
        </w:tc>
      </w:tr>
      <w:tr>
        <w:trPr/>
        <w:tc>
          <w:tcPr>
            <w:tcW w:w="20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left"/>
              <w:rPr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</w:tc>
        <w:tc>
          <w:tcPr>
            <w:tcW w:w="18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left"/>
              <w:rPr>
                <w:b w:val="false"/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b w:val="false"/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b w:val="false"/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b w:val="false"/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b w:val="false"/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r>
          </w:p>
        </w:tc>
        <w:tc>
          <w:tcPr>
            <w:tcW w:w="2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left"/>
              <w:rPr>
                <w:b w:val="false"/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r>
          </w:p>
        </w:tc>
      </w:tr>
      <w:tr>
        <w:trPr/>
        <w:tc>
          <w:tcPr>
            <w:tcW w:w="20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left"/>
              <w:rPr>
                <w:b w:val="false"/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r>
          </w:p>
        </w:tc>
        <w:tc>
          <w:tcPr>
            <w:tcW w:w="18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left"/>
              <w:rPr>
                <w:b w:val="false"/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b w:val="false"/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b w:val="false"/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b w:val="false"/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b w:val="false"/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r>
          </w:p>
        </w:tc>
        <w:tc>
          <w:tcPr>
            <w:tcW w:w="2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left"/>
              <w:rPr>
                <w:b w:val="false"/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shd w:fill="81D41A" w:val="clear"/>
                <w:lang w:val="ru-RU"/>
              </w:rPr>
            </w:r>
          </w:p>
        </w:tc>
      </w:tr>
      <w:tr>
        <w:trPr/>
        <w:tc>
          <w:tcPr>
            <w:tcW w:w="2007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left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Муниципальное бюджетное учреждение «Централизованная библиотечная система» Ядринского муниципального округа Чувашской Республики</w:t>
            </w:r>
          </w:p>
        </w:tc>
        <w:tc>
          <w:tcPr>
            <w:tcW w:w="18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left"/>
              <w:rPr/>
            </w:pPr>
            <w:r>
              <w:rPr>
                <w:b w:val="false"/>
                <w:bCs w:val="false"/>
                <w:sz w:val="18"/>
                <w:szCs w:val="18"/>
              </w:rPr>
              <w:t xml:space="preserve">Библиотечное, библиографическое и информационное </w:t>
            </w:r>
            <w:r>
              <w:rPr>
                <w:b/>
                <w:bCs/>
                <w:sz w:val="18"/>
                <w:szCs w:val="18"/>
              </w:rPr>
              <w:t>обслуживание пользователей библиотеки</w:t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  <w:t>399 500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  <w:t>219039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  <w:t>+19289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8"/>
                <w:szCs w:val="18"/>
                <w:shd w:fill="auto" w:val="clear"/>
                <w:lang w:val="en-US"/>
              </w:rPr>
            </w:pPr>
            <w:r>
              <w:rPr>
                <w:b w:val="false"/>
                <w:bCs w:val="false"/>
                <w:sz w:val="18"/>
                <w:szCs w:val="18"/>
                <w:shd w:fill="auto" w:val="clear"/>
                <w:lang w:val="en-US"/>
              </w:rPr>
              <w:t>25,9</w:t>
            </w:r>
          </w:p>
        </w:tc>
        <w:tc>
          <w:tcPr>
            <w:tcW w:w="2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/>
            </w:pPr>
            <w:r>
              <w:rPr>
                <w:b w:val="false"/>
                <w:bCs w:val="false"/>
                <w:sz w:val="18"/>
                <w:szCs w:val="18"/>
                <w:shd w:fill="auto" w:val="clear"/>
              </w:rPr>
              <w:t xml:space="preserve">99 875 </w:t>
            </w: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в квартал,</w:t>
            </w:r>
          </w:p>
          <w:p>
            <w:pPr>
              <w:pStyle w:val="Style20"/>
              <w:bidi w:val="0"/>
              <w:snapToGrid w:val="false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в пределах  установленного</w:t>
            </w:r>
          </w:p>
        </w:tc>
      </w:tr>
      <w:tr>
        <w:trPr/>
        <w:tc>
          <w:tcPr>
            <w:tcW w:w="20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left"/>
              <w:rPr>
                <w:b w:val="false"/>
                <w:b w:val="false"/>
                <w:bCs w:val="false"/>
                <w:sz w:val="18"/>
                <w:szCs w:val="18"/>
                <w:shd w:fill="auto" w:val="clear"/>
              </w:rPr>
            </w:pPr>
            <w:r>
              <w:rPr>
                <w:b w:val="false"/>
                <w:bCs w:val="false"/>
                <w:sz w:val="18"/>
                <w:szCs w:val="18"/>
                <w:shd w:fill="auto" w:val="clear"/>
              </w:rPr>
            </w:r>
          </w:p>
        </w:tc>
        <w:tc>
          <w:tcPr>
            <w:tcW w:w="18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left"/>
              <w:rPr/>
            </w:pPr>
            <w:r>
              <w:rPr>
                <w:b w:val="false"/>
                <w:bCs w:val="false"/>
                <w:sz w:val="18"/>
                <w:szCs w:val="18"/>
              </w:rPr>
              <w:t xml:space="preserve">Предоставление </w:t>
            </w:r>
            <w:r>
              <w:rPr>
                <w:b/>
                <w:bCs/>
                <w:sz w:val="18"/>
                <w:szCs w:val="18"/>
              </w:rPr>
              <w:t>консультационных и методических услуг</w:t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  <w:t>20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  <w:t>14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  <w:t>+4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/>
            </w:pPr>
            <w:r>
              <w:rPr>
                <w:b w:val="false"/>
                <w:bCs w:val="false"/>
                <w:sz w:val="18"/>
                <w:szCs w:val="18"/>
                <w:lang w:val="en-US"/>
              </w:rPr>
              <w:t>5,</w:t>
            </w:r>
            <w:r>
              <w:rPr>
                <w:b w:val="false"/>
                <w:bCs w:val="false"/>
                <w:sz w:val="18"/>
                <w:szCs w:val="18"/>
                <w:lang w:val="ru-RU"/>
              </w:rPr>
              <w:t>00</w:t>
            </w:r>
          </w:p>
        </w:tc>
        <w:tc>
          <w:tcPr>
            <w:tcW w:w="2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rFonts w:eastAsia="Times New Roman" w:cs="Times New Roman"/>
                <w:b w:val="false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10 за полугодие, в пределах установленного</w:t>
            </w:r>
          </w:p>
        </w:tc>
      </w:tr>
      <w:tr>
        <w:trPr/>
        <w:tc>
          <w:tcPr>
            <w:tcW w:w="20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left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w="18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left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Формирование, учет, изучение, обеспечение физического сохранения и безопасности </w:t>
            </w:r>
            <w:r>
              <w:rPr>
                <w:b/>
                <w:bCs/>
                <w:color w:val="000000"/>
                <w:sz w:val="18"/>
                <w:szCs w:val="18"/>
              </w:rPr>
              <w:t>фондов библиотеки</w:t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  <w:shd w:fill="auto" w:val="clear"/>
                <w:lang w:val="en-US"/>
              </w:rPr>
              <w:t>22</w:t>
            </w:r>
            <w:r>
              <w:rPr>
                <w:b w:val="false"/>
                <w:bCs w:val="false"/>
                <w:color w:val="000000"/>
                <w:sz w:val="18"/>
                <w:szCs w:val="18"/>
                <w:shd w:fill="auto" w:val="clear"/>
                <w:lang w:val="ru-RU"/>
              </w:rPr>
              <w:t>5 0</w:t>
            </w:r>
            <w:r>
              <w:rPr>
                <w:b w:val="false"/>
                <w:bCs w:val="false"/>
                <w:color w:val="000000"/>
                <w:sz w:val="18"/>
                <w:szCs w:val="18"/>
                <w:shd w:fill="auto" w:val="clear"/>
                <w:lang w:val="en-US"/>
              </w:rPr>
              <w:t>00</w:t>
            </w:r>
          </w:p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  <w:t>219 899</w:t>
            </w:r>
          </w:p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r>
          </w:p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r>
          </w:p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  <w:t>+163649</w:t>
            </w:r>
          </w:p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r>
          </w:p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000000"/>
                <w:kern w:val="2"/>
                <w:sz w:val="18"/>
                <w:szCs w:val="18"/>
                <w:shd w:fill="auto" w:val="clear"/>
                <w:lang w:val="ru-RU" w:eastAsia="zh-CN" w:bidi="hi-IN"/>
              </w:rPr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2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center"/>
              <w:rPr>
                <w:rFonts w:eastAsia="Times New Roman" w:cs="Times New Roman"/>
                <w:b w:val="false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56250 в квартал.</w:t>
            </w:r>
          </w:p>
          <w:p>
            <w:pPr>
              <w:pStyle w:val="Normal"/>
              <w:bidi w:val="0"/>
              <w:snapToGrid w:val="false"/>
              <w:jc w:val="center"/>
              <w:rPr>
                <w:rFonts w:eastAsia="Times New Roman" w:cs="Times New Roman"/>
                <w:b w:val="false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</w:r>
          </w:p>
          <w:p>
            <w:pPr>
              <w:pStyle w:val="Normal"/>
              <w:bidi w:val="0"/>
              <w:snapToGrid w:val="false"/>
              <w:jc w:val="center"/>
              <w:rPr>
                <w:rFonts w:eastAsia="Times New Roman" w:cs="Times New Roman"/>
                <w:b w:val="false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Для участие в федеральном конкурсе по модернизации модельных библиотек</w:t>
            </w:r>
          </w:p>
        </w:tc>
      </w:tr>
      <w:tr>
        <w:trPr/>
        <w:tc>
          <w:tcPr>
            <w:tcW w:w="20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left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w="18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left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Библиографическая обработка документов и создание каталогов</w:t>
            </w:r>
          </w:p>
          <w:p>
            <w:pPr>
              <w:pStyle w:val="Style20"/>
              <w:bidi w:val="0"/>
              <w:jc w:val="left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Style20"/>
              <w:bidi w:val="0"/>
              <w:jc w:val="left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8"/>
                <w:szCs w:val="18"/>
                <w:lang w:val="en-US"/>
              </w:rPr>
            </w:pPr>
            <w:r>
              <w:rPr>
                <w:b w:val="false"/>
                <w:bCs w:val="false"/>
                <w:sz w:val="18"/>
                <w:szCs w:val="18"/>
                <w:lang w:val="en-US"/>
              </w:rPr>
              <w:t>2 000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  <w:t>1 189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  <w:t>+689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  <w:t>5,00</w:t>
            </w:r>
          </w:p>
        </w:tc>
        <w:tc>
          <w:tcPr>
            <w:tcW w:w="2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/>
            </w:pPr>
            <w:r>
              <w:rPr>
                <w:rFonts w:eastAsia="Lucida Sans Unicode" w:cs="Mangal"/>
                <w:b w:val="false"/>
                <w:bCs w:val="false"/>
                <w:color w:val="auto"/>
                <w:kern w:val="2"/>
                <w:sz w:val="18"/>
                <w:szCs w:val="18"/>
                <w:lang w:val="en-US" w:eastAsia="zh-CN" w:bidi="hi-IN"/>
              </w:rPr>
              <w:t xml:space="preserve">500 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в квартал,</w:t>
            </w:r>
          </w:p>
          <w:p>
            <w:pPr>
              <w:pStyle w:val="Style20"/>
              <w:bidi w:val="0"/>
              <w:snapToGrid w:val="false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в пределах  установленного</w:t>
            </w:r>
          </w:p>
        </w:tc>
      </w:tr>
      <w:tr>
        <w:trPr/>
        <w:tc>
          <w:tcPr>
            <w:tcW w:w="2007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left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Муниципальное бюджетное учреждение «Централизованная музейная система» Ядринского муниципального округа Чувашской Республики</w:t>
            </w:r>
          </w:p>
        </w:tc>
        <w:tc>
          <w:tcPr>
            <w:tcW w:w="18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>Количество музейных предметов основного Музейного фонда учреждения, опубликованных на экспозициях и выставках за отчетный период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>3 7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18"/>
                <w:szCs w:val="18"/>
                <w:lang w:val="ru-RU" w:eastAsia="ru-RU" w:bidi="ar-SA"/>
              </w:rPr>
              <w:t>13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rFonts w:eastAsia="" w:cs="Calibri" w:ascii="Calibri" w:hAnsi="Calibri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 xml:space="preserve">4 </w:t>
            </w:r>
            <w:r>
              <w:rPr>
                <w:rFonts w:eastAsia="" w:cs="Calibri" w:ascii="Calibri" w:hAnsi="Calibri"/>
                <w:b w:val="false"/>
                <w:bCs w:val="false"/>
                <w:color w:val="auto"/>
                <w:kern w:val="0"/>
                <w:sz w:val="18"/>
                <w:szCs w:val="18"/>
                <w:lang w:val="ru-RU" w:eastAsia="ru-RU" w:bidi="ar-SA"/>
              </w:rPr>
              <w:t>608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rFonts w:ascii="Calibri" w:hAnsi="Calibri" w:eastAsia="" w:cs="Calibri"/>
                <w:b w:val="false"/>
                <w:b w:val="false"/>
                <w:bCs w:val="false"/>
                <w:color w:val="auto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" w:cs="Calibri" w:ascii="Calibri" w:hAnsi="Calibri"/>
                <w:b w:val="false"/>
                <w:bCs w:val="false"/>
                <w:color w:val="auto"/>
                <w:kern w:val="0"/>
                <w:sz w:val="18"/>
                <w:szCs w:val="18"/>
                <w:lang w:val="ru-RU" w:eastAsia="ru-RU" w:bidi="ar-SA"/>
              </w:rPr>
              <w:t>+895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auto"/>
                <w:kern w:val="2"/>
                <w:sz w:val="16"/>
                <w:szCs w:val="16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auto"/>
                <w:kern w:val="2"/>
                <w:sz w:val="16"/>
                <w:szCs w:val="16"/>
                <w:lang w:val="ru-RU" w:eastAsia="zh-CN" w:bidi="hi-IN"/>
              </w:rPr>
              <w:t>5,00</w:t>
            </w:r>
          </w:p>
        </w:tc>
        <w:tc>
          <w:tcPr>
            <w:tcW w:w="2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  <w:t xml:space="preserve">Открытие новых залов </w:t>
            </w:r>
          </w:p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  <w:t>в художественно-краеведческом музее после капитального ремонта</w:t>
            </w:r>
          </w:p>
        </w:tc>
      </w:tr>
      <w:tr>
        <w:trPr/>
        <w:tc>
          <w:tcPr>
            <w:tcW w:w="20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left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w="18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 xml:space="preserve">Публичный показ музейных предметов, музейных коллекций. Число посетителей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>(в стационарных условиях)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Calibri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" w:cs="Calibri" w:ascii="Calibri" w:hAnsi="Calibri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>12 173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" w:cs="Calibri"/>
                <w:b w:val="false"/>
                <w:b w:val="false"/>
                <w:bCs w:val="false"/>
                <w:color w:val="auto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" w:cs="Calibri" w:ascii="Calibri" w:hAnsi="Calibri"/>
                <w:b w:val="false"/>
                <w:bCs w:val="false"/>
                <w:color w:val="auto"/>
                <w:kern w:val="0"/>
                <w:sz w:val="18"/>
                <w:szCs w:val="18"/>
                <w:lang w:val="ru-RU" w:eastAsia="ru-RU" w:bidi="ar-SA"/>
              </w:rPr>
              <w:t>6416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  <w:t>+3373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auto"/>
                <w:kern w:val="2"/>
                <w:sz w:val="16"/>
                <w:szCs w:val="16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auto"/>
                <w:kern w:val="2"/>
                <w:sz w:val="16"/>
                <w:szCs w:val="16"/>
                <w:lang w:val="ru-RU" w:eastAsia="zh-CN" w:bidi="hi-IN"/>
              </w:rPr>
              <w:t>5,00</w:t>
            </w:r>
          </w:p>
        </w:tc>
        <w:tc>
          <w:tcPr>
            <w:tcW w:w="2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>30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18"/>
                <w:szCs w:val="18"/>
                <w:lang w:val="ru-RU" w:eastAsia="ru-RU" w:bidi="ar-SA"/>
              </w:rPr>
              <w:t>43</w:t>
            </w:r>
          </w:p>
          <w:p>
            <w:pPr>
              <w:pStyle w:val="Normal"/>
              <w:widowControl/>
              <w:bidi w:val="0"/>
              <w:snapToGrid w:val="false"/>
              <w:spacing w:lineRule="auto" w:line="240" w:before="0" w:after="0"/>
              <w:jc w:val="center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>в квартал, в пределах  установленного</w:t>
            </w:r>
          </w:p>
        </w:tc>
      </w:tr>
      <w:tr>
        <w:trPr/>
        <w:tc>
          <w:tcPr>
            <w:tcW w:w="20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left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w="18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 xml:space="preserve">Публичный показ музейных предметов, музейных коллекций. Число посетителей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>(вне стационара)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Calibri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" w:cs="Calibri" w:ascii="Calibri" w:hAnsi="Calibri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>6  630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widowControl/>
              <w:bidi w:val="0"/>
              <w:spacing w:lineRule="auto" w:line="240" w:before="0" w:after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  <w:t>3816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  <w:t>+2159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5,00</w:t>
            </w:r>
          </w:p>
        </w:tc>
        <w:tc>
          <w:tcPr>
            <w:tcW w:w="2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>1657</w:t>
            </w:r>
          </w:p>
          <w:p>
            <w:pPr>
              <w:pStyle w:val="Normal"/>
              <w:widowControl/>
              <w:bidi w:val="0"/>
              <w:snapToGrid w:val="false"/>
              <w:spacing w:lineRule="auto" w:line="240" w:before="0" w:after="0"/>
              <w:jc w:val="center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>в квартал, в пределах  установленного</w:t>
            </w:r>
          </w:p>
        </w:tc>
      </w:tr>
      <w:tr>
        <w:trPr/>
        <w:tc>
          <w:tcPr>
            <w:tcW w:w="20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left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w="18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>Публичный показ музейных предметов, музейных коллекций. Число посетителей (удаленно через сеть Интернет)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Calibri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" w:cs="Calibri" w:ascii="Calibri" w:hAnsi="Calibri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>2 100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" w:cs="Calibri"/>
                <w:b w:val="false"/>
                <w:b w:val="false"/>
                <w:bCs w:val="false"/>
                <w:color w:val="auto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" w:cs="Calibri" w:ascii="Calibri" w:hAnsi="Calibri"/>
                <w:b w:val="false"/>
                <w:bCs w:val="false"/>
                <w:color w:val="auto"/>
                <w:kern w:val="0"/>
                <w:sz w:val="18"/>
                <w:szCs w:val="18"/>
                <w:lang w:val="ru-RU" w:eastAsia="ru-RU" w:bidi="ar-SA"/>
              </w:rPr>
              <w:t>1429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  <w:t>+904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auto"/>
                <w:kern w:val="2"/>
                <w:sz w:val="16"/>
                <w:szCs w:val="16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auto"/>
                <w:kern w:val="2"/>
                <w:sz w:val="16"/>
                <w:szCs w:val="16"/>
                <w:lang w:val="ru-RU" w:eastAsia="zh-CN" w:bidi="hi-IN"/>
              </w:rPr>
              <w:t>5,00</w:t>
            </w:r>
          </w:p>
        </w:tc>
        <w:tc>
          <w:tcPr>
            <w:tcW w:w="2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>5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18"/>
                <w:szCs w:val="18"/>
                <w:lang w:val="ru-RU" w:eastAsia="ru-RU" w:bidi="ar-SA"/>
              </w:rPr>
              <w:t xml:space="preserve">25 в квартал, </w:t>
            </w:r>
          </w:p>
          <w:p>
            <w:pPr>
              <w:pStyle w:val="Normal"/>
              <w:widowControl/>
              <w:bidi w:val="0"/>
              <w:snapToGrid w:val="false"/>
              <w:spacing w:lineRule="auto" w:line="240" w:before="0" w:after="0"/>
              <w:jc w:val="center"/>
              <w:rPr>
                <w:rFonts w:eastAsia="Times New Roman" w:cs="Times New Roman"/>
                <w:b w:val="false"/>
                <w:b w:val="false"/>
                <w:bCs w:val="false"/>
                <w:color w:val="auto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18"/>
                <w:szCs w:val="18"/>
                <w:lang w:val="ru-RU" w:eastAsia="ru-RU" w:bidi="ar-SA"/>
              </w:rPr>
              <w:t>в пределах  установленного</w:t>
            </w:r>
          </w:p>
        </w:tc>
      </w:tr>
      <w:tr>
        <w:trPr/>
        <w:tc>
          <w:tcPr>
            <w:tcW w:w="20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left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w="18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>Создание  экспозиций (выставок) музеев, организация выездных выставок. Количество экспозиций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>(в стационарных условиях, вне стационара)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Calibri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" w:cs="Calibri" w:ascii="Calibri" w:hAnsi="Calibri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" w:cs="Calibri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" w:cs="Calibri" w:ascii="Calibri" w:hAnsi="Calibri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>61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" w:cs="Calibri"/>
                <w:b w:val="false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" w:cs="Calibri" w:ascii="Calibri" w:hAnsi="Calibri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" w:cs="Calibri"/>
                <w:b w:val="false"/>
                <w:b w:val="false"/>
                <w:bCs w:val="false"/>
                <w:color w:val="auto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" w:cs="Calibri" w:ascii="Calibri" w:hAnsi="Calibri"/>
                <w:b w:val="false"/>
                <w:bCs w:val="false"/>
                <w:color w:val="auto"/>
                <w:kern w:val="0"/>
                <w:sz w:val="18"/>
                <w:szCs w:val="18"/>
                <w:lang w:val="ru-RU" w:eastAsia="ru-RU" w:bidi="ar-SA"/>
              </w:rPr>
              <w:t>32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snapToGrid w:val="false"/>
              <w:jc w:val="center"/>
              <w:rPr>
                <w:rFonts w:eastAsia="Lucida Sans Unicode" w:cs="Mangal"/>
                <w:b w:val="false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</w:pPr>
            <w:r>
              <w:rPr>
                <w:rFonts w:eastAsia="Lucida Sans Unicode" w:cs="Mangal"/>
                <w:b w:val="false"/>
                <w:bCs w:val="false"/>
                <w:color w:val="auto"/>
                <w:kern w:val="2"/>
                <w:sz w:val="18"/>
                <w:szCs w:val="18"/>
                <w:lang w:val="ru-RU" w:eastAsia="zh-CN" w:bidi="hi-IN"/>
              </w:rPr>
              <w:t>+17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0"/>
              <w:bidi w:val="0"/>
              <w:jc w:val="center"/>
              <w:rPr>
                <w:b w:val="false"/>
                <w:b w:val="false"/>
                <w:bCs w:val="false"/>
                <w:sz w:val="16"/>
                <w:szCs w:val="16"/>
                <w:shd w:fill="auto" w:val="clear"/>
              </w:rPr>
            </w:pPr>
            <w:r>
              <w:rPr>
                <w:b w:val="false"/>
                <w:bCs w:val="false"/>
                <w:sz w:val="16"/>
                <w:szCs w:val="16"/>
                <w:shd w:fill="auto" w:val="clear"/>
              </w:rPr>
              <w:t>4,00</w:t>
            </w:r>
          </w:p>
        </w:tc>
        <w:tc>
          <w:tcPr>
            <w:tcW w:w="22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rFonts w:eastAsia="" w:cs="Calibri" w:ascii="Calibri" w:hAnsi="Calibri"/>
                <w:b w:val="false"/>
                <w:bCs w:val="false"/>
                <w:kern w:val="0"/>
                <w:sz w:val="18"/>
                <w:szCs w:val="18"/>
                <w:lang w:val="ru-RU" w:eastAsia="ru-RU" w:bidi="ar-SA"/>
              </w:rPr>
              <w:t xml:space="preserve">15 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18"/>
                <w:szCs w:val="18"/>
                <w:lang w:val="ru-RU" w:eastAsia="ru-RU" w:bidi="ar-SA"/>
              </w:rPr>
              <w:t>в квартал, в пределах  установленного</w:t>
            </w:r>
          </w:p>
        </w:tc>
      </w:tr>
    </w:tbl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420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Lucida Sans Unicode" w:cs="Mangal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Style16">
    <w:name w:val="Body Text"/>
    <w:basedOn w:val="Normal"/>
    <w:pPr>
      <w:spacing w:before="0" w:after="12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507</TotalTime>
  <Application>LibreOffice/7.1.5.2$Windows_X86_64 LibreOffice_project/85f04e9f809797b8199d13c421bd8a2b025d52b5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2016-07-07T14:28:21Z</dcterms:created>
  <dc:creator/>
  <dc:description/>
  <dc:language>ru-RU</dc:language>
  <cp:lastModifiedBy/>
  <cp:lastPrinted>2026-07-14T09:16:00Z</cp:lastPrinted>
  <dcterms:modified xsi:type="dcterms:W3CDTF">2026-07-14T09:16:49Z</dcterms:modified>
  <cp:revision>99</cp:revision>
  <dc:subject/>
  <dc:title/>
</cp:coreProperties>
</file>