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tblpY="1259"/>
        <w:tblW w:w="9649" w:type="dxa"/>
        <w:tblLayout w:type="fixed"/>
        <w:tblLook w:val="04A0" w:firstRow="1" w:lastRow="0" w:firstColumn="1" w:lastColumn="0" w:noHBand="0" w:noVBand="1"/>
      </w:tblPr>
      <w:tblGrid>
        <w:gridCol w:w="3799"/>
        <w:gridCol w:w="2013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ind w:left="-108" w:right="-993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 w:val="22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b/>
                <w:spacing w:val="40"/>
                <w:sz w:val="22"/>
                <w:szCs w:val="24"/>
                <w:lang w:eastAsia="ru-RU"/>
              </w:rPr>
              <w:t>Чувашская</w:t>
            </w:r>
            <w:r>
              <w:rPr>
                <w:rFonts w:ascii="Baltica Chv" w:eastAsia="Times New Roman" w:hAnsi="Baltica Chv"/>
                <w:b/>
                <w:spacing w:val="40"/>
                <w:sz w:val="22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40"/>
                <w:sz w:val="22"/>
                <w:szCs w:val="24"/>
                <w:lang w:eastAsia="ru-RU"/>
              </w:rPr>
              <w:t>Республика</w:t>
            </w:r>
          </w:p>
          <w:p>
            <w:pPr>
              <w:ind w:right="-993"/>
              <w:jc w:val="center"/>
              <w:rPr>
                <w:rFonts w:ascii="Times New Roman" w:eastAsia="Times New Roman" w:hAnsi="Times New Roman"/>
                <w:sz w:val="8"/>
                <w:szCs w:val="24"/>
                <w:lang w:eastAsia="ru-RU"/>
              </w:rPr>
            </w:pPr>
          </w:p>
          <w:p>
            <w:pPr>
              <w:keepNext/>
              <w:ind w:left="-108" w:right="-993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 w:val="2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40"/>
                <w:sz w:val="22"/>
                <w:szCs w:val="24"/>
                <w:lang w:eastAsia="ru-RU"/>
              </w:rPr>
              <w:t>Чебоксарское</w:t>
            </w:r>
            <w:r>
              <w:rPr>
                <w:rFonts w:ascii="Baltica Chv" w:eastAsia="Times New Roman" w:hAnsi="Baltica Chv"/>
                <w:b/>
                <w:spacing w:val="40"/>
                <w:sz w:val="22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40"/>
                <w:sz w:val="22"/>
                <w:szCs w:val="24"/>
                <w:lang w:eastAsia="ru-RU"/>
              </w:rPr>
              <w:t>городское</w:t>
            </w:r>
          </w:p>
          <w:p>
            <w:pPr>
              <w:keepNext/>
              <w:ind w:left="-108" w:right="-993"/>
              <w:jc w:val="center"/>
              <w:outlineLvl w:val="2"/>
              <w:rPr>
                <w:rFonts w:ascii="Baltica Chv" w:eastAsia="Times New Roman" w:hAnsi="Baltica Chv"/>
                <w:sz w:val="2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40"/>
                <w:sz w:val="22"/>
                <w:szCs w:val="24"/>
                <w:lang w:eastAsia="ru-RU"/>
              </w:rPr>
              <w:t>Собрание</w:t>
            </w:r>
            <w:r>
              <w:rPr>
                <w:rFonts w:ascii="Baltica Chv" w:eastAsia="Times New Roman" w:hAnsi="Baltica Chv"/>
                <w:b/>
                <w:spacing w:val="40"/>
                <w:sz w:val="22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40"/>
                <w:sz w:val="22"/>
                <w:szCs w:val="24"/>
                <w:lang w:eastAsia="ru-RU"/>
              </w:rPr>
              <w:t>депутатов</w:t>
            </w:r>
          </w:p>
          <w:p>
            <w:pPr>
              <w:ind w:left="-112" w:right="-993"/>
              <w:jc w:val="center"/>
              <w:rPr>
                <w:rFonts w:ascii="Baltica Chv" w:eastAsia="Times New Roman" w:hAnsi="Baltica Chv"/>
                <w:b/>
                <w:sz w:val="22"/>
                <w:szCs w:val="24"/>
                <w:lang w:eastAsia="ru-RU"/>
              </w:rPr>
            </w:pPr>
          </w:p>
          <w:p>
            <w:pPr>
              <w:keepNext/>
              <w:ind w:right="-993"/>
              <w:jc w:val="center"/>
              <w:outlineLvl w:val="3"/>
              <w:rPr>
                <w:rFonts w:ascii="Baltica Chv" w:eastAsia="Times New Roman" w:hAnsi="Baltica Chv"/>
                <w:b/>
                <w:caps/>
                <w:spacing w:val="40"/>
                <w:sz w:val="2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pacing w:val="40"/>
                <w:sz w:val="22"/>
                <w:szCs w:val="24"/>
                <w:lang w:eastAsia="ru-RU"/>
              </w:rPr>
              <w:t>РЕШЕНИЕ</w:t>
            </w:r>
          </w:p>
          <w:p>
            <w:pPr>
              <w:keepNext/>
              <w:ind w:right="-993"/>
              <w:jc w:val="center"/>
              <w:outlineLvl w:val="3"/>
              <w:rPr>
                <w:rFonts w:ascii="Baltica Chv" w:eastAsia="Times New Roman" w:hAnsi="Baltica Chv"/>
                <w:b/>
                <w:caps/>
                <w:spacing w:val="40"/>
                <w:sz w:val="22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>
            <w:pPr>
              <w:ind w:right="-99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95325"/>
                  <wp:effectExtent l="0" t="0" r="9525" b="9525"/>
                  <wp:docPr id="1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ind w:left="-108" w:right="-993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 w:val="22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40"/>
                <w:sz w:val="22"/>
                <w:szCs w:val="24"/>
                <w:lang w:eastAsia="ru-RU"/>
              </w:rPr>
              <w:t>Чǎваш</w:t>
            </w:r>
            <w:proofErr w:type="spellEnd"/>
            <w:r>
              <w:rPr>
                <w:rFonts w:ascii="Baltica Chv" w:eastAsia="Times New Roman" w:hAnsi="Baltica Chv"/>
                <w:b/>
                <w:spacing w:val="40"/>
                <w:sz w:val="22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40"/>
                <w:sz w:val="22"/>
                <w:szCs w:val="24"/>
                <w:lang w:eastAsia="ru-RU"/>
              </w:rPr>
              <w:t>Республики</w:t>
            </w:r>
          </w:p>
          <w:p>
            <w:pPr>
              <w:ind w:right="-993"/>
              <w:jc w:val="center"/>
              <w:rPr>
                <w:rFonts w:ascii="Baltica Chv" w:eastAsia="Times New Roman" w:hAnsi="Baltica Chv"/>
                <w:b/>
                <w:spacing w:val="40"/>
                <w:sz w:val="8"/>
                <w:szCs w:val="24"/>
                <w:lang w:eastAsia="ru-RU"/>
              </w:rPr>
            </w:pPr>
          </w:p>
          <w:p>
            <w:pPr>
              <w:keepNext/>
              <w:ind w:left="-108" w:right="-993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 w:val="22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40"/>
                <w:sz w:val="22"/>
                <w:szCs w:val="24"/>
                <w:lang w:eastAsia="ru-RU"/>
              </w:rPr>
              <w:t>Шупашкар</w:t>
            </w:r>
            <w:proofErr w:type="spellEnd"/>
            <w:r>
              <w:rPr>
                <w:rFonts w:ascii="Baltica Chv" w:eastAsia="Times New Roman" w:hAnsi="Baltica Chv"/>
                <w:b/>
                <w:spacing w:val="40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40"/>
                <w:sz w:val="22"/>
                <w:szCs w:val="24"/>
                <w:lang w:eastAsia="ru-RU"/>
              </w:rPr>
              <w:t>хулин</w:t>
            </w:r>
            <w:proofErr w:type="spellEnd"/>
          </w:p>
          <w:p>
            <w:pPr>
              <w:keepNext/>
              <w:ind w:left="-108" w:right="-993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 w:val="22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40"/>
                <w:sz w:val="22"/>
                <w:szCs w:val="24"/>
                <w:lang w:eastAsia="ru-RU"/>
              </w:rPr>
              <w:t>депутатсен</w:t>
            </w:r>
            <w:proofErr w:type="spellEnd"/>
            <w:r>
              <w:rPr>
                <w:rFonts w:ascii="Baltica Chv" w:eastAsia="Times New Roman" w:hAnsi="Baltica Chv"/>
                <w:b/>
                <w:spacing w:val="40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40"/>
                <w:sz w:val="22"/>
                <w:szCs w:val="24"/>
                <w:lang w:eastAsia="ru-RU"/>
              </w:rPr>
              <w:t>Пухăвĕ</w:t>
            </w:r>
            <w:proofErr w:type="spellEnd"/>
          </w:p>
          <w:p>
            <w:pPr>
              <w:ind w:right="-993"/>
              <w:jc w:val="center"/>
              <w:rPr>
                <w:rFonts w:ascii="Baltica Chv" w:eastAsia="Times New Roman" w:hAnsi="Baltica Chv"/>
                <w:b/>
                <w:spacing w:val="40"/>
                <w:sz w:val="22"/>
                <w:szCs w:val="24"/>
                <w:lang w:eastAsia="ru-RU"/>
              </w:rPr>
            </w:pPr>
          </w:p>
          <w:p>
            <w:pPr>
              <w:keepNext/>
              <w:ind w:left="-108" w:right="-993"/>
              <w:jc w:val="center"/>
              <w:outlineLvl w:val="2"/>
              <w:rPr>
                <w:rFonts w:ascii="Times New Roman" w:eastAsia="Times New Roman" w:hAnsi="Times New Roman"/>
                <w:b/>
                <w:spacing w:val="40"/>
                <w:sz w:val="2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4"/>
                <w:lang w:eastAsia="ru-RU"/>
              </w:rPr>
              <w:t>ЙЫШĂНУ</w:t>
            </w:r>
          </w:p>
        </w:tc>
      </w:tr>
    </w:tbl>
    <w:p>
      <w:pPr>
        <w:spacing w:line="288" w:lineRule="auto"/>
        <w:ind w:right="-99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>
      <w:pPr>
        <w:spacing w:line="288" w:lineRule="auto"/>
        <w:ind w:right="-99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 мая 2024 года № 1638</w:t>
      </w:r>
    </w:p>
    <w:bookmarkEnd w:id="0"/>
    <w:tbl>
      <w:tblPr>
        <w:tblStyle w:val="a7"/>
        <w:tblW w:w="987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82"/>
      </w:tblGrid>
      <w:tr>
        <w:tc>
          <w:tcPr>
            <w:tcW w:w="5495" w:type="dxa"/>
          </w:tcPr>
          <w:p>
            <w:pPr>
              <w:ind w:left="709" w:right="-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ind w:left="709"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внесении изменений в решение Чебоксарского городского Собрания депутатов от 21 ноября 2013 года № 1203 «О Положении об управлении образования администрации города Чебоксары»</w:t>
            </w:r>
          </w:p>
        </w:tc>
        <w:tc>
          <w:tcPr>
            <w:tcW w:w="4382" w:type="dxa"/>
          </w:tcPr>
          <w:p>
            <w:pPr>
              <w:ind w:left="709" w:right="-567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ind w:left="709" w:right="-567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ind w:left="709" w:right="-567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>
      <w:pPr>
        <w:spacing w:line="360" w:lineRule="auto"/>
        <w:ind w:left="709" w:right="-567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>
      <w:pPr>
        <w:spacing w:after="120" w:line="360" w:lineRule="auto"/>
        <w:ind w:left="709" w:right="-567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 законом от 6 октября 2003 года                              № 131–ФЗ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 40, в целях уточнения и приведения функций управления образования администрации города Чебоксары в соответствие действующему законодательству Российской Федерации</w:t>
      </w:r>
    </w:p>
    <w:p>
      <w:pPr>
        <w:spacing w:after="120" w:line="360" w:lineRule="auto"/>
        <w:ind w:left="709" w:right="-567"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Чебоксарское городское Собрание депутатов</w:t>
      </w:r>
    </w:p>
    <w:p>
      <w:pPr>
        <w:spacing w:after="120" w:line="360" w:lineRule="auto"/>
        <w:ind w:left="709" w:right="-567"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 Е Ш И Л О:</w:t>
      </w:r>
    </w:p>
    <w:p>
      <w:pPr>
        <w:spacing w:line="360" w:lineRule="auto"/>
        <w:ind w:left="709" w:right="-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в решение Чебоксарского городского собрания депутатов от                      21 ноября 2013 года № 1203 «О Положении об управлении образования администрации города Чебоксары» в раздел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«Функции» следующие изменения:</w:t>
      </w:r>
    </w:p>
    <w:p>
      <w:pPr>
        <w:spacing w:line="360" w:lineRule="auto"/>
        <w:ind w:left="709" w:right="-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пункт 3.1.52. изложить в следующей редакции: </w:t>
      </w:r>
    </w:p>
    <w:p>
      <w:pPr>
        <w:spacing w:line="360" w:lineRule="auto"/>
        <w:ind w:left="709" w:right="-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«3.1.52. Размещает информацию о предоставлении указанной меры социальной поддержки посредством использования государственной информационной системы «Единая централизованная цифровая платформа в социальной сфере» в порядке и объеме, установленными постановлением </w:t>
      </w:r>
      <w:r>
        <w:rPr>
          <w:rFonts w:ascii="Times New Roman" w:hAnsi="Times New Roman"/>
          <w:sz w:val="28"/>
          <w:szCs w:val="28"/>
        </w:rPr>
        <w:lastRenderedPageBreak/>
        <w:t>Правительства Российской Федерации от 29 декабря 2023 года № 2386                              «О государственной информационной системе «Единая централизованная цифровая платформа в социальной сфере», и в соответствии с форматами, установленными оператором единой цифровой платформы.»;</w:t>
      </w:r>
    </w:p>
    <w:p>
      <w:pPr>
        <w:spacing w:line="360" w:lineRule="auto"/>
        <w:ind w:left="709" w:right="-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пункт 3.1.65. изложить в следующей редакции:</w:t>
      </w:r>
    </w:p>
    <w:p>
      <w:pPr>
        <w:spacing w:line="360" w:lineRule="auto"/>
        <w:ind w:left="709" w:right="-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«3.1.65. «Заключает и прекращает трудовые договора с руководителями учреждений, находящихся в ведении управления образования.»;</w:t>
      </w:r>
    </w:p>
    <w:p>
      <w:pPr>
        <w:spacing w:line="360" w:lineRule="auto"/>
        <w:ind w:left="709" w:right="-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пункт 3.1.78 признать утратившим силу. </w:t>
      </w:r>
    </w:p>
    <w:p>
      <w:pPr>
        <w:pStyle w:val="a3"/>
        <w:ind w:left="709" w:right="-567" w:firstLine="0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ab/>
        <w:t>2. Настоящее решение вступает в силу со дня его официального опубликования.</w:t>
      </w:r>
    </w:p>
    <w:p>
      <w:pPr>
        <w:pStyle w:val="a3"/>
        <w:ind w:left="709" w:right="-567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Контроль за исполнением настоящего решения возложить на постоянную комиссию Чебоксарского городского Собрания депутатов по социальному развитию. </w:t>
      </w:r>
    </w:p>
    <w:p>
      <w:pPr>
        <w:overflowPunct w:val="0"/>
        <w:autoSpaceDE w:val="0"/>
        <w:autoSpaceDN w:val="0"/>
        <w:adjustRightInd w:val="0"/>
        <w:ind w:left="709" w:right="-567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665" w:type="dxa"/>
        <w:tblInd w:w="-34" w:type="dxa"/>
        <w:tblLook w:val="04A0" w:firstRow="1" w:lastRow="0" w:firstColumn="1" w:lastColumn="0" w:noHBand="0" w:noVBand="1"/>
      </w:tblPr>
      <w:tblGrid>
        <w:gridCol w:w="4995"/>
        <w:gridCol w:w="283"/>
        <w:gridCol w:w="5387"/>
      </w:tblGrid>
      <w:tr>
        <w:tc>
          <w:tcPr>
            <w:tcW w:w="4995" w:type="dxa"/>
          </w:tcPr>
          <w:p>
            <w:pPr>
              <w:tabs>
                <w:tab w:val="left" w:pos="993"/>
                <w:tab w:val="left" w:pos="7371"/>
              </w:tabs>
              <w:autoSpaceDN w:val="0"/>
              <w:ind w:left="709" w:right="-56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993"/>
                <w:tab w:val="left" w:pos="7371"/>
              </w:tabs>
              <w:autoSpaceDN w:val="0"/>
              <w:ind w:left="709" w:right="-56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993"/>
                <w:tab w:val="left" w:pos="7371"/>
              </w:tabs>
              <w:autoSpaceDN w:val="0"/>
              <w:ind w:left="709" w:right="-56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Чебоксарского городского Собрания депутатов</w:t>
            </w:r>
          </w:p>
          <w:p>
            <w:pPr>
              <w:tabs>
                <w:tab w:val="left" w:pos="993"/>
                <w:tab w:val="left" w:pos="7371"/>
              </w:tabs>
              <w:autoSpaceDN w:val="0"/>
              <w:ind w:left="709" w:right="-56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993"/>
                <w:tab w:val="left" w:pos="7371"/>
              </w:tabs>
              <w:autoSpaceDN w:val="0"/>
              <w:ind w:left="709" w:right="-56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Е.Н. Кадышев</w:t>
            </w:r>
          </w:p>
        </w:tc>
        <w:tc>
          <w:tcPr>
            <w:tcW w:w="283" w:type="dxa"/>
          </w:tcPr>
          <w:p>
            <w:pPr>
              <w:tabs>
                <w:tab w:val="left" w:pos="993"/>
                <w:tab w:val="left" w:pos="7371"/>
              </w:tabs>
              <w:autoSpaceDN w:val="0"/>
              <w:ind w:left="709" w:right="-56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>
            <w:pPr>
              <w:tabs>
                <w:tab w:val="left" w:pos="993"/>
                <w:tab w:val="left" w:pos="7371"/>
              </w:tabs>
              <w:autoSpaceDN w:val="0"/>
              <w:ind w:left="318" w:right="-56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993"/>
                <w:tab w:val="left" w:pos="7371"/>
              </w:tabs>
              <w:autoSpaceDN w:val="0"/>
              <w:ind w:left="318" w:right="-56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993"/>
                <w:tab w:val="left" w:pos="7371"/>
              </w:tabs>
              <w:autoSpaceDN w:val="0"/>
              <w:ind w:left="318" w:right="-21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Временно исполняющий полномочия главы города Чебоксары                                                                 </w:t>
            </w:r>
          </w:p>
          <w:p>
            <w:pPr>
              <w:tabs>
                <w:tab w:val="left" w:pos="993"/>
                <w:tab w:val="left" w:pos="7371"/>
              </w:tabs>
              <w:autoSpaceDN w:val="0"/>
              <w:ind w:left="318" w:right="-216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993"/>
                <w:tab w:val="left" w:pos="7371"/>
              </w:tabs>
              <w:autoSpaceDN w:val="0"/>
              <w:ind w:left="318" w:right="-21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 В.А. Доброхотов</w:t>
            </w:r>
          </w:p>
        </w:tc>
      </w:tr>
    </w:tbl>
    <w:p>
      <w:pPr>
        <w:pStyle w:val="Iniiaiieoaeno2"/>
        <w:tabs>
          <w:tab w:val="clear" w:pos="7938"/>
          <w:tab w:val="left" w:pos="6946"/>
          <w:tab w:val="left" w:pos="7088"/>
        </w:tabs>
        <w:ind w:left="709" w:right="-567"/>
        <w:rPr>
          <w:color w:val="000000" w:themeColor="text1"/>
          <w:sz w:val="20"/>
          <w:szCs w:val="20"/>
        </w:rPr>
      </w:pPr>
    </w:p>
    <w:p>
      <w:pPr>
        <w:autoSpaceDE w:val="0"/>
        <w:autoSpaceDN w:val="0"/>
        <w:adjustRightInd w:val="0"/>
        <w:ind w:left="709" w:right="-567"/>
        <w:jc w:val="center"/>
        <w:rPr>
          <w:color w:val="000000" w:themeColor="text1"/>
          <w:sz w:val="28"/>
          <w:szCs w:val="28"/>
        </w:rPr>
      </w:pPr>
    </w:p>
    <w:sectPr>
      <w:headerReference w:type="default" r:id="rId9"/>
      <w:pgSz w:w="11906" w:h="16838"/>
      <w:pgMar w:top="709" w:right="141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117096"/>
      <w:docPartObj>
        <w:docPartGallery w:val="Page Numbers (Top of Page)"/>
        <w:docPartUnique/>
      </w:docPartObj>
    </w:sdtPr>
    <w:sdtContent>
      <w:p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105DF"/>
    <w:multiLevelType w:val="hybridMultilevel"/>
    <w:tmpl w:val="5A468EE6"/>
    <w:lvl w:ilvl="0" w:tplc="9DCAB96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F45ED"/>
    <w:multiLevelType w:val="hybridMultilevel"/>
    <w:tmpl w:val="52D8B3C2"/>
    <w:lvl w:ilvl="0" w:tplc="3F228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031874"/>
    <w:multiLevelType w:val="hybridMultilevel"/>
    <w:tmpl w:val="9CF4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E59A9"/>
    <w:multiLevelType w:val="hybridMultilevel"/>
    <w:tmpl w:val="5A468EE6"/>
    <w:lvl w:ilvl="0" w:tplc="9DCAB96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7A3303"/>
    <w:multiLevelType w:val="hybridMultilevel"/>
    <w:tmpl w:val="E36A00FA"/>
    <w:lvl w:ilvl="0" w:tplc="3F5AE1DA">
      <w:start w:val="1"/>
      <w:numFmt w:val="decimal"/>
      <w:lvlText w:val="%1)"/>
      <w:lvlJc w:val="left"/>
      <w:pPr>
        <w:ind w:left="117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8149F9"/>
    <w:multiLevelType w:val="hybridMultilevel"/>
    <w:tmpl w:val="52CEF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3A3AA-CB03-4439-B852-3BB8FF26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ind w:firstLine="0"/>
    </w:pPr>
    <w:rPr>
      <w:rFonts w:ascii="Verdana" w:eastAsia="Calibri" w:hAnsi="Verdana" w:cs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0"/>
      </w:tabs>
      <w:spacing w:line="360" w:lineRule="auto"/>
      <w:ind w:firstLine="720"/>
    </w:pPr>
    <w:rPr>
      <w:rFonts w:ascii="Calibri" w:hAnsi="Calibri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Pr>
      <w:rFonts w:ascii="Calibri" w:eastAsia="Calibri" w:hAnsi="Calibri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Iniiaiieoaeno2">
    <w:name w:val="Iniiaiie oaeno 2"/>
    <w:basedOn w:val="a"/>
    <w:pPr>
      <w:tabs>
        <w:tab w:val="left" w:pos="7938"/>
      </w:tabs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">
    <w:name w:val="Обычный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Pr>
      <w:rFonts w:ascii="Verdana" w:eastAsia="Calibri" w:hAnsi="Verdana" w:cs="Times New Roman"/>
      <w:sz w:val="16"/>
    </w:r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pPr>
      <w:spacing w:line="240" w:lineRule="auto"/>
      <w:ind w:firstLine="0"/>
    </w:pPr>
    <w:rPr>
      <w:rFonts w:ascii="Verdana" w:eastAsia="Calibri" w:hAnsi="Verdana" w:cs="Times New Roman"/>
      <w:sz w:val="16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Verdana" w:eastAsia="Calibri" w:hAnsi="Verdan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AB5EC-2E10-4908-94EB-8DA91945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Ксенофонтова</dc:creator>
  <cp:lastModifiedBy>gcheb_chgsd4</cp:lastModifiedBy>
  <cp:revision>17</cp:revision>
  <cp:lastPrinted>2024-06-03T05:37:00Z</cp:lastPrinted>
  <dcterms:created xsi:type="dcterms:W3CDTF">2024-04-02T12:44:00Z</dcterms:created>
  <dcterms:modified xsi:type="dcterms:W3CDTF">2024-06-03T06:06:00Z</dcterms:modified>
</cp:coreProperties>
</file>