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проект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системе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Министерстве промышленност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энергетики Чувашской Республики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20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 год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№ 618 «Об основных направлениях 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ой политики по развитию конкуренции»,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национального плана ("дорожной карты") развития конкуренции в Российской Федерации на 2021 - 2025 годы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распоряжением Правительства РФ от 02.09.2021 N 2424-р, </w:t>
      </w:r>
      <w:r>
        <w:rPr>
          <w:rFonts w:ascii="Times New Roman" w:hAnsi="Times New Roman" w:cs="Times New Roman"/>
          <w:sz w:val="26"/>
          <w:szCs w:val="26"/>
        </w:rPr>
        <w:t xml:space="preserve">и в соответствии с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промышленност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и энергетики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(далее –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) от </w:t>
      </w:r>
      <w:r>
        <w:rPr>
          <w:rFonts w:ascii="Times New Roman" w:hAnsi="Times New Roman" w:cs="Times New Roman"/>
          <w:sz w:val="26"/>
          <w:szCs w:val="26"/>
        </w:rPr>
        <w:t xml:space="preserve"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апреля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 xml:space="preserve">02-03/20</w:t>
      </w:r>
      <w:r>
        <w:rPr>
          <w:rFonts w:ascii="Times New Roman" w:hAnsi="Times New Roman" w:cs="Times New Roman"/>
          <w:sz w:val="26"/>
          <w:szCs w:val="26"/>
        </w:rPr>
        <w:t xml:space="preserve"> «О системе внутреннего обеспечения соответствия требованиям антимонопольного законодательства (антимонопольном </w:t>
      </w:r>
      <w:r>
        <w:rPr>
          <w:rFonts w:ascii="Times New Roman" w:hAnsi="Times New Roman" w:cs="Times New Roman"/>
          <w:sz w:val="26"/>
          <w:szCs w:val="26"/>
        </w:rPr>
        <w:t xml:space="preserve">комплаенсе</w:t>
      </w:r>
      <w:r>
        <w:rPr>
          <w:rFonts w:ascii="Times New Roman" w:hAnsi="Times New Roman" w:cs="Times New Roman"/>
          <w:sz w:val="26"/>
          <w:szCs w:val="26"/>
        </w:rPr>
        <w:t xml:space="preserve">)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Министерстве промышленности и энергетики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Министерстве</w:t>
      </w:r>
      <w:r>
        <w:rPr>
          <w:rFonts w:ascii="Times New Roman" w:hAnsi="Times New Roman" w:cs="Times New Roman"/>
          <w:sz w:val="26"/>
          <w:szCs w:val="26"/>
        </w:rPr>
        <w:t xml:space="preserve"> создана система внутреннего обеспечения соответствия требованиям антимонопольного законодательства (антимонопольный </w:t>
      </w:r>
      <w:r>
        <w:rPr>
          <w:rFonts w:ascii="Times New Roman" w:hAnsi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sz w:val="26"/>
          <w:szCs w:val="26"/>
        </w:rPr>
        <w:t xml:space="preserve">) и утверждено Положение об организации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Министерстве промышленности и</w:t>
      </w:r>
      <w:r>
        <w:rPr>
          <w:rFonts w:ascii="Times New Roman" w:hAnsi="Times New Roman" w:cs="Times New Roman"/>
          <w:sz w:val="26"/>
          <w:szCs w:val="26"/>
        </w:rPr>
        <w:t xml:space="preserve"> энергетики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(далее – Положение).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нформация о результатах проведенной оценки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b/>
          <w:sz w:val="26"/>
          <w:szCs w:val="26"/>
        </w:rPr>
        <w:t xml:space="preserve">-рисков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выявления </w:t>
      </w:r>
      <w:r>
        <w:rPr>
          <w:rFonts w:ascii="Times New Roman" w:hAnsi="Times New Roman" w:cs="Times New Roman" w:eastAsiaTheme="minorHAnsi"/>
          <w:sz w:val="26"/>
          <w:szCs w:val="26"/>
        </w:rPr>
        <w:t xml:space="preserve">рисков нарушения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sz w:val="26"/>
          <w:szCs w:val="26"/>
        </w:rPr>
        <w:t xml:space="preserve">-рисков)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Положением </w:t>
      </w:r>
      <w:r>
        <w:rPr>
          <w:rFonts w:ascii="Times New Roman" w:hAnsi="Times New Roman" w:cs="Times New Roman"/>
          <w:sz w:val="26"/>
          <w:szCs w:val="26"/>
        </w:rPr>
        <w:t xml:space="preserve">проведен</w:t>
      </w:r>
      <w:r>
        <w:rPr>
          <w:rFonts w:ascii="Times New Roman" w:hAnsi="Times New Roman" w:cs="Times New Roman"/>
          <w:sz w:val="26"/>
          <w:szCs w:val="26"/>
        </w:rPr>
        <w:t xml:space="preserve">ы: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анализ выявленных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анализ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и нормативных правовых актов Чувашской Республики, ответственным за реализацию которых является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анализ проектов нормативных правовых актов, разработанных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мониторинг и анализ практики применения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систематическая оценка эффективности разработанных и реализуемых мероприятий по снижению </w:t>
      </w:r>
      <w:r>
        <w:rPr>
          <w:rFonts w:ascii="Times New Roman" w:hAnsi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sz w:val="26"/>
          <w:szCs w:val="26"/>
        </w:rPr>
        <w:t xml:space="preserve">-рисков.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нормативных правовых актов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нормативных правовых актов Чувашской Республики, ответственным за реализацию которых является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40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результатам анализа за отчетный период выявлено 4 нарушения антимонопольного законодательства в нормативных правовых актах (проектах </w:t>
      </w:r>
      <w:r>
        <w:rPr>
          <w:color w:val="000000" w:themeColor="text1"/>
          <w:sz w:val="26"/>
          <w:szCs w:val="26"/>
        </w:rPr>
        <w:t xml:space="preserve">нормативных правовых актах), разработанных Министерством, </w:t>
      </w:r>
      <w:r>
        <w:rPr>
          <w:color w:val="000000" w:themeColor="text1"/>
          <w:sz w:val="26"/>
          <w:szCs w:val="26"/>
        </w:rPr>
        <w:t xml:space="preserve">в 2024 году.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40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202</w:t>
      </w:r>
      <w:r>
        <w:rPr>
          <w:color w:val="000000" w:themeColor="text1"/>
          <w:sz w:val="26"/>
          <w:szCs w:val="26"/>
        </w:rPr>
        <w:t xml:space="preserve">4 г. Министерство в УФАС по Чувашской Республике по основаниям, связанным с исполнением государственных контрактов, не обращалось.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center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проектов нормативных правовых актов, разработанных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Министерством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 году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рамках анализа проектов нормативных правовых актов, разработанных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ованы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следующие мероприятия: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проведена антикоррупционная и правовая экспертиза (анализ) в том числе в части их возможного влияния на конкуренцию,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отношении проектов нормативных правовых актов Чувашской Республики, разработанных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разм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ещены на официальном сайте regulation.cap.ru в информационно-телекоммуникационной сети «Интернет», направлены на согласование в прокуратуру Чувашской Республики и на проведение независимой антикоррупционной экспертизы аккредитованным независимым экспертам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нормативных правовых актов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Министерства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проведен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сбор и оценка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 поступивших замечаний и предложений независимых экспертов по проектам  нормативных правовых актов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связи с выявлен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ными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коррупциогенными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факторами;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проведен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заседани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я Общественного совета при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Министерстве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на котор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рассмотрен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и одобрен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7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ов нормативных правовых актов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2024</w:t>
      </w:r>
      <w:r>
        <w:rPr>
          <w:rFonts w:ascii="Times New Roman" w:hAnsi="Times New Roman" w:cs="Times New Roman"/>
          <w:sz w:val="26"/>
          <w:szCs w:val="26"/>
        </w:rPr>
        <w:t xml:space="preserve"> г. в УФАС по Чувашской Республике Министерством направле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7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оектов нормативных правовых актов Чувашской Республики на предмет соответстви</w:t>
      </w:r>
      <w:r>
        <w:rPr>
          <w:rFonts w:ascii="Times New Roman" w:hAnsi="Times New Roman" w:cs="Times New Roman"/>
          <w:sz w:val="26"/>
          <w:szCs w:val="26"/>
        </w:rPr>
        <w:t xml:space="preserve">я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Мониторинг и анализ практики применения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b/>
          <w:sz w:val="26"/>
          <w:szCs w:val="26"/>
        </w:rPr>
        <w:t xml:space="preserve"> антимонопольного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мониторинга и анализа практики применения антимонопольного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4 году на постоянной основе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сбор сведений о правоприменительной практике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Министерстве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в рамках реализации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147-р, за</w:t>
      </w:r>
      <w:r>
        <w:rPr>
          <w:rFonts w:ascii="Times New Roman" w:hAnsi="Times New Roman" w:cs="Times New Roman"/>
          <w:sz w:val="26"/>
          <w:szCs w:val="26"/>
        </w:rPr>
        <w:t xml:space="preserve">дачами которой является снижение административной нагрузки на бизнес, а также формирование четких правил организации контроля и защита прав предпринимателей, ежеквартально проводятся публичные обсуждения результатов правоприменительной практики (проверок).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публичные обсуждения приглашаются члены Общественного совета при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Министерстве</w:t>
      </w:r>
      <w:r>
        <w:rPr>
          <w:rFonts w:ascii="Times New Roman" w:hAnsi="Times New Roman" w:cs="Times New Roman"/>
          <w:sz w:val="26"/>
          <w:szCs w:val="26"/>
        </w:rPr>
        <w:t xml:space="preserve">, представители иных заинтересованных исполнительн</w:t>
      </w:r>
      <w:r>
        <w:rPr>
          <w:rFonts w:ascii="Times New Roman" w:hAnsi="Times New Roman" w:cs="Times New Roman"/>
          <w:sz w:val="26"/>
          <w:szCs w:val="26"/>
        </w:rPr>
        <w:t xml:space="preserve">ых органов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Республики, а также представители подконтрольных субъектов и регулируемых организаций.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мониторинга правоприменительной практики отражаются в докладах и справках отдела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обеспечени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hAnsi="Times New Roman" w:cs="Times New Roman"/>
          <w:sz w:val="26"/>
          <w:szCs w:val="26"/>
        </w:rPr>
        <w:t xml:space="preserve">докладах</w:t>
      </w:r>
      <w:r>
        <w:rPr>
          <w:rFonts w:ascii="Times New Roman" w:hAnsi="Times New Roman" w:cs="Times New Roman"/>
          <w:sz w:val="26"/>
          <w:szCs w:val="26"/>
        </w:rPr>
        <w:t xml:space="preserve"> о результатах проведенных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проверок </w:t>
      </w:r>
      <w:r>
        <w:rPr>
          <w:rFonts w:ascii="Times New Roman" w:hAnsi="Times New Roman" w:cs="Times New Roman"/>
          <w:sz w:val="26"/>
          <w:szCs w:val="26"/>
        </w:rPr>
        <w:t xml:space="preserve">и принятых по ним мерам реагирования, а так же о типовых нарушениях подконтрольными субъектами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описаны типовые наруш</w:t>
      </w:r>
      <w:r>
        <w:rPr>
          <w:rFonts w:ascii="Times New Roman" w:hAnsi="Times New Roman" w:cs="Times New Roman"/>
          <w:sz w:val="26"/>
          <w:szCs w:val="26"/>
        </w:rPr>
        <w:t xml:space="preserve">ения обязательных требований законодательства, проведен их подробный анализ, озвучены принятые меры по устранению выявленных нарушений, привлечению виновных к административной ответственности, а также меры по профилактике нарушений обязательных требований.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Систематическая оценка эффективности разработанных и реализуемых мероприятий по снижению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b/>
          <w:sz w:val="26"/>
          <w:szCs w:val="26"/>
        </w:rPr>
        <w:t xml:space="preserve">-рисков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оценки эффективности разработанных и реализуемых мероприятий по снижению </w:t>
      </w:r>
      <w:r>
        <w:rPr>
          <w:rFonts w:ascii="Times New Roman" w:hAnsi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sz w:val="26"/>
          <w:szCs w:val="26"/>
        </w:rPr>
        <w:t xml:space="preserve">-рисков</w:t>
      </w:r>
      <w:r>
        <w:rPr>
          <w:rFonts w:ascii="Times New Roman" w:hAnsi="Times New Roman" w:cs="Times New Roman"/>
          <w:sz w:val="26"/>
          <w:szCs w:val="26"/>
        </w:rPr>
        <w:t xml:space="preserve"> в ходе 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возложенных на не</w:t>
      </w:r>
      <w:r>
        <w:rPr>
          <w:rFonts w:ascii="Times New Roman" w:hAnsi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cs="Times New Roman"/>
          <w:sz w:val="26"/>
          <w:szCs w:val="26"/>
        </w:rPr>
        <w:t xml:space="preserve"> полномочий в 20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4 году фактов: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отрицательно</w:t>
      </w:r>
      <w:r>
        <w:rPr>
          <w:rFonts w:ascii="Times New Roman" w:hAnsi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cs="Times New Roman"/>
          <w:sz w:val="26"/>
          <w:szCs w:val="26"/>
        </w:rPr>
        <w:t xml:space="preserve"> влияни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на отношение институтов гражданского общества к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по развитию конкуренции</w:t>
      </w:r>
      <w:r>
        <w:rPr>
          <w:rFonts w:ascii="Times New Roman" w:hAnsi="Times New Roman" w:cs="Times New Roman"/>
          <w:sz w:val="26"/>
          <w:szCs w:val="26"/>
        </w:rPr>
        <w:t xml:space="preserve"> не установлено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б) выдач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предупреждени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 прекращении действий (бездействия), которые содержат признаки нарушения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не установлено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 указанный период контролирующими органами возбуждено одно дело о нарушении ан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тимонопольного законодательства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Ключевые показатели эффективности функционирования антимонопольного </w:t>
      </w:r>
      <w:r>
        <w:rPr>
          <w:rFonts w:ascii="Times New Roman" w:hAnsi="Times New Roman" w:cs="Times New Roman"/>
          <w:sz w:val="26"/>
          <w:szCs w:val="26"/>
        </w:rPr>
        <w:t xml:space="preserve">комплаенса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Министерстве</w:t>
      </w:r>
      <w:r>
        <w:rPr>
          <w:rFonts w:ascii="Times New Roman" w:hAnsi="Times New Roman" w:cs="Times New Roman"/>
          <w:sz w:val="26"/>
          <w:szCs w:val="26"/>
        </w:rPr>
        <w:t xml:space="preserve"> выполнены.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</w:rPr>
        <w:t xml:space="preserve">. Информация об исполнении плана мероприятий по снижению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b/>
          <w:sz w:val="26"/>
          <w:szCs w:val="26"/>
        </w:rPr>
        <w:t xml:space="preserve">-рисков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пунктом 5.1 Положения в целях снижения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-рисков разработан план мероприятий по снижению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-рисков, который содержит в разрезе каждого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-риска конкретные мероприятия, необходимые для устранения выявленных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-рисков.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плане мероприятий по снижению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указаны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общие меры по минимизации и устранению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-рисков;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описание конкретных действий (мероприятий), направленных на минимизацию и устранение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-рисков;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должностное лицо или структурное подразделение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ответственное за выполнение каждого мероприятия;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tabs>
          <w:tab w:val="left" w:pos="963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срок исполнения мероприятий.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37"/>
        <w:ind w:firstLine="709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ероприяти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по снижению рисков нарушения антимонопольного законодательства (</w:t>
      </w:r>
      <w:r>
        <w:rPr>
          <w:sz w:val="26"/>
          <w:szCs w:val="26"/>
        </w:rPr>
        <w:t xml:space="preserve">комплаенс</w:t>
      </w:r>
      <w:r>
        <w:rPr>
          <w:sz w:val="26"/>
          <w:szCs w:val="26"/>
        </w:rPr>
        <w:t xml:space="preserve">-рисков) </w:t>
      </w:r>
      <w:r>
        <w:rPr>
          <w:sz w:val="26"/>
          <w:szCs w:val="26"/>
        </w:rPr>
        <w:t xml:space="preserve">исполнены </w:t>
      </w:r>
      <w:r>
        <w:rPr>
          <w:sz w:val="26"/>
          <w:szCs w:val="26"/>
        </w:rPr>
        <w:t xml:space="preserve">Министерством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 году </w:t>
      </w:r>
      <w:r>
        <w:rPr>
          <w:sz w:val="26"/>
          <w:szCs w:val="26"/>
        </w:rPr>
        <w:t xml:space="preserve">в полном объеме.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</w:t>
      </w:r>
      <w:r>
        <w:rPr>
          <w:rFonts w:ascii="Times New Roman" w:hAnsi="Times New Roman" w:cs="Times New Roman"/>
          <w:b/>
          <w:sz w:val="26"/>
          <w:szCs w:val="26"/>
        </w:rPr>
        <w:t xml:space="preserve">. Информация о достижении ключевых показателей эффективности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антимонопольного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комплаенса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Коэффициент снижения количества нарушений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антимонопольного законодательства.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Доля проектов нормативных правовых актов Чувашской Республики, разработанных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Министерством промышленности и энергетики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которых выявлены риски нарушения антим</w:t>
      </w:r>
      <w:r>
        <w:rPr>
          <w:rFonts w:ascii="Times New Roman" w:hAnsi="Times New Roman" w:cs="Times New Roman"/>
          <w:bCs/>
          <w:sz w:val="26"/>
          <w:szCs w:val="26"/>
        </w:rPr>
        <w:t xml:space="preserve">онопольного законодательства – 0,72</w:t>
      </w:r>
      <w:r>
        <w:rPr>
          <w:rFonts w:ascii="Times New Roman" w:hAnsi="Times New Roman" w:cs="Times New Roman"/>
          <w:bCs/>
          <w:sz w:val="26"/>
          <w:szCs w:val="26"/>
        </w:rPr>
        <w:t xml:space="preserve">%;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Доля нормативных правовых актов Чувашской Республики, разработанных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Министерством промышленности и энергетики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которых выявлены риски нарушения антимонопольного законодательства – 0%.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Доля сотрудников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Министерства промышленности и энергетики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отношении которых проведены обучающие мероприятия по антимонопольному законодательству и антимонопольному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комплаенсу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1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2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%.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IV</w:t>
      </w:r>
      <w:r>
        <w:rPr>
          <w:rFonts w:ascii="Times New Roman" w:hAnsi="Times New Roman" w:cs="Times New Roman"/>
          <w:b/>
          <w:sz w:val="26"/>
          <w:szCs w:val="26"/>
        </w:rPr>
        <w:t xml:space="preserve">. Иная информация, связанная с реализацией в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Министерстве промышленности и энергетики Чувашской Республики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конкурентной политике и тарифам антимонопольного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комплаенса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ведется систематическое обучение гражданских служащих требованиям антимонопольного законодательства и антимонопольного </w:t>
      </w:r>
      <w:r>
        <w:rPr>
          <w:rFonts w:ascii="Times New Roman" w:hAnsi="Times New Roman" w:cs="Times New Roman"/>
          <w:sz w:val="26"/>
          <w:szCs w:val="26"/>
        </w:rPr>
        <w:t xml:space="preserve">комплаенса</w:t>
      </w:r>
      <w:r>
        <w:rPr>
          <w:rFonts w:ascii="Times New Roman" w:hAnsi="Times New Roman" w:cs="Times New Roman"/>
          <w:sz w:val="26"/>
          <w:szCs w:val="26"/>
        </w:rPr>
        <w:t xml:space="preserve"> в следующих формах: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вводный (первичный) инструктаж и ознакомление с основами антимонопольного законодательства и Положением всех государственных гражданских служащих Чувашской Республики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после создания системы антимонопольного </w:t>
      </w:r>
      <w:r>
        <w:rPr>
          <w:rFonts w:ascii="Times New Roman" w:hAnsi="Times New Roman" w:cs="Times New Roman"/>
          <w:sz w:val="26"/>
          <w:szCs w:val="26"/>
        </w:rPr>
        <w:t xml:space="preserve">комплаенса</w:t>
      </w:r>
      <w:r>
        <w:rPr>
          <w:rFonts w:ascii="Times New Roman" w:hAnsi="Times New Roman" w:cs="Times New Roman"/>
          <w:sz w:val="26"/>
          <w:szCs w:val="26"/>
        </w:rPr>
        <w:t xml:space="preserve">, а также при поступлении граждан на государственную гражданскую службу Чувашской Республики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целевой (внеплановый) инструктаж при изменении антимонопольного законодательства, после утверждения карты </w:t>
      </w:r>
      <w:r>
        <w:rPr>
          <w:rFonts w:ascii="Times New Roman" w:hAnsi="Times New Roman" w:cs="Times New Roman"/>
          <w:sz w:val="26"/>
          <w:szCs w:val="26"/>
        </w:rPr>
        <w:t xml:space="preserve">комплаенс</w:t>
      </w:r>
      <w:r>
        <w:rPr>
          <w:rFonts w:ascii="Times New Roman" w:hAnsi="Times New Roman" w:cs="Times New Roman"/>
          <w:sz w:val="26"/>
          <w:szCs w:val="26"/>
        </w:rPr>
        <w:t xml:space="preserve">-рисков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путем доведения до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соответствующих информационных сообщений.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Style1"/>
    <w:basedOn w:val="831"/>
    <w:pPr>
      <w:jc w:val="center"/>
      <w:spacing w:after="0" w:line="269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Александрова А.Г.</dc:creator>
  <cp:revision>4</cp:revision>
  <dcterms:created xsi:type="dcterms:W3CDTF">2024-02-09T14:17:00Z</dcterms:created>
  <dcterms:modified xsi:type="dcterms:W3CDTF">2025-02-10T11:32:25Z</dcterms:modified>
</cp:coreProperties>
</file>