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95" w:rsidRDefault="00CD09A0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Ключевые показатели эффективности функционирования </w:t>
      </w:r>
    </w:p>
    <w:p w:rsidR="00D46395" w:rsidRDefault="00CD09A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антимонопольного комплаенса в </w:t>
      </w:r>
      <w:r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администрации </w:t>
      </w:r>
    </w:p>
    <w:p w:rsidR="00D46395" w:rsidRDefault="00C03DC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>Красночетайского</w:t>
      </w:r>
      <w:r w:rsidR="004D7F4F"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 муниципального округа</w:t>
      </w:r>
      <w:r w:rsidR="00CD09A0">
        <w:rPr>
          <w:rFonts w:ascii="Arial" w:eastAsia="Times New Roman" w:hAnsi="Arial" w:cs="Times New Roman"/>
          <w:b/>
          <w:bCs/>
          <w:sz w:val="26"/>
          <w:szCs w:val="26"/>
          <w:shd w:val="clear" w:color="auto" w:fill="FFFFFF"/>
          <w:lang w:eastAsia="ar-SA"/>
        </w:rPr>
        <w:t xml:space="preserve"> Чувашской Республики</w:t>
      </w:r>
      <w:r w:rsidR="00846567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 xml:space="preserve"> в 202</w:t>
      </w:r>
      <w:r w:rsidR="00FD5FE7" w:rsidRPr="00FD5FE7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 xml:space="preserve">6 </w:t>
      </w:r>
      <w:bookmarkStart w:id="0" w:name="_GoBack"/>
      <w:bookmarkEnd w:id="0"/>
      <w:r w:rsidR="00CD09A0">
        <w:rPr>
          <w:rFonts w:ascii="Arial" w:eastAsia="Times New Roman" w:hAnsi="Arial" w:cs="Arial"/>
          <w:b/>
          <w:bCs/>
          <w:sz w:val="26"/>
          <w:szCs w:val="26"/>
          <w:shd w:val="clear" w:color="auto" w:fill="FFFFFF"/>
          <w:lang w:eastAsia="ar-SA"/>
        </w:rPr>
        <w:t>году</w:t>
      </w:r>
    </w:p>
    <w:p w:rsidR="00D46395" w:rsidRDefault="00D46395">
      <w:pPr>
        <w:spacing w:after="0" w:line="240" w:lineRule="auto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Ключевые показатели эффективности функционирования антимонопольного комплаенса</w:t>
      </w:r>
      <w:r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>администрации Красноче</w:t>
      </w:r>
      <w:r w:rsidR="004D7F4F"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 xml:space="preserve">тайского муниципального округа </w:t>
      </w:r>
      <w:r>
        <w:rPr>
          <w:rFonts w:ascii="Arial" w:eastAsia="Times New Roman" w:hAnsi="Arial" w:cs="Times New Roman"/>
          <w:sz w:val="26"/>
          <w:szCs w:val="26"/>
          <w:shd w:val="clear" w:color="auto" w:fill="FFFFFF"/>
          <w:lang w:eastAsia="ar-SA"/>
        </w:rPr>
        <w:t>Чувашской Республики</w:t>
      </w:r>
      <w:r>
        <w:rPr>
          <w:rFonts w:ascii="Arial" w:hAnsi="Arial" w:cs="Arial"/>
          <w:sz w:val="26"/>
          <w:szCs w:val="26"/>
        </w:rPr>
        <w:t xml:space="preserve"> (далее – </w:t>
      </w:r>
      <w:proofErr w:type="gramStart"/>
      <w:r>
        <w:rPr>
          <w:rFonts w:ascii="Arial" w:hAnsi="Arial" w:cs="Arial"/>
          <w:sz w:val="26"/>
          <w:szCs w:val="26"/>
        </w:rPr>
        <w:t>Администрация )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количество нарушений Администрации;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доля проектов нормативных правовых актов, разработанных Администрацией, в которых выявлены риски нарушения антимонопольного законодательства;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доля сотрудников Администрации, в отношении которых проведены обучающие мероприятия по антимонопольному законодательству и антимонопольному комплаенсу.</w:t>
      </w:r>
    </w:p>
    <w:p w:rsidR="00D46395" w:rsidRDefault="00CD09A0">
      <w:pPr>
        <w:spacing w:after="0" w:line="24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Расчет ключевых показателей эффективности функционирования антимонопольного комплаенса в Администрации осуществляется в соответствии с Методикой расчета ключевых показателей эффективности функционирования в федеральном органе исполнительной власти антимонопольного комплаенса, утвержденной приказом ФАС России от 05.02.2019 № 133/19 «Об утверждении методики расчета ключевых показателей эффективности функционирования в федеральном органе исполнительной власти антимонопольного комплаенса».</w:t>
      </w:r>
    </w:p>
    <w:p w:rsidR="00D46395" w:rsidRDefault="00D4639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D46395">
      <w:pgSz w:w="11906" w:h="16838"/>
      <w:pgMar w:top="851" w:right="851" w:bottom="851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D46395"/>
    <w:rsid w:val="004D7F4F"/>
    <w:rsid w:val="00846567"/>
    <w:rsid w:val="00C03DC0"/>
    <w:rsid w:val="00CD09A0"/>
    <w:rsid w:val="00D46395"/>
    <w:rsid w:val="00DC730F"/>
    <w:rsid w:val="00FD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008FB-FFFF-4E74-8599-49C83283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6B9"/>
    <w:pPr>
      <w:suppressAutoHyphens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36C44"/>
    <w:rPr>
      <w:rFonts w:ascii="Segoe UI" w:hAnsi="Segoe UI" w:cs="Segoe UI"/>
      <w:sz w:val="18"/>
      <w:szCs w:val="18"/>
    </w:rPr>
  </w:style>
  <w:style w:type="character" w:customStyle="1" w:styleId="a4">
    <w:name w:val="Текст концевой сноски Знак"/>
    <w:basedOn w:val="a0"/>
    <w:uiPriority w:val="99"/>
    <w:semiHidden/>
    <w:qFormat/>
    <w:rsid w:val="001B439C"/>
    <w:rPr>
      <w:sz w:val="20"/>
      <w:szCs w:val="20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1B439C"/>
    <w:rPr>
      <w:vertAlign w:val="superscript"/>
    </w:rPr>
  </w:style>
  <w:style w:type="character" w:customStyle="1" w:styleId="-">
    <w:name w:val="Интернет-ссылка"/>
    <w:basedOn w:val="a0"/>
    <w:uiPriority w:val="99"/>
    <w:unhideWhenUsed/>
    <w:rsid w:val="001B439C"/>
    <w:rPr>
      <w:color w:val="0563C1" w:themeColor="hyperlink"/>
      <w:u w:val="single"/>
    </w:rPr>
  </w:style>
  <w:style w:type="character" w:customStyle="1" w:styleId="a6">
    <w:name w:val="Цветовое выделение"/>
    <w:qFormat/>
  </w:style>
  <w:style w:type="character" w:styleId="a7">
    <w:name w:val="Strong"/>
    <w:qFormat/>
    <w:rPr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Balloon Text"/>
    <w:basedOn w:val="a"/>
    <w:uiPriority w:val="99"/>
    <w:semiHidden/>
    <w:unhideWhenUsed/>
    <w:qFormat/>
    <w:rsid w:val="00436C4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endnote text"/>
    <w:basedOn w:val="a"/>
    <w:uiPriority w:val="99"/>
    <w:semiHidden/>
    <w:unhideWhenUsed/>
    <w:rsid w:val="001B439C"/>
    <w:pPr>
      <w:spacing w:after="0" w:line="240" w:lineRule="auto"/>
    </w:pPr>
    <w:rPr>
      <w:sz w:val="20"/>
      <w:szCs w:val="20"/>
    </w:rPr>
  </w:style>
  <w:style w:type="paragraph" w:customStyle="1" w:styleId="ConsPlusTitle">
    <w:name w:val="ConsPlusTitle"/>
    <w:qFormat/>
    <w:pPr>
      <w:widowControl w:val="0"/>
    </w:pPr>
    <w:rPr>
      <w:rFonts w:ascii="Calibri" w:eastAsia="Calibri" w:hAnsi="Calibri" w:cs="Liberation Serif"/>
      <w:b/>
      <w:kern w:val="2"/>
      <w:sz w:val="24"/>
      <w:szCs w:val="20"/>
      <w:lang w:eastAsia="hi-IN"/>
    </w:rPr>
  </w:style>
  <w:style w:type="paragraph" w:customStyle="1" w:styleId="ConsPlusNormal">
    <w:name w:val="ConsPlusNormal"/>
    <w:qFormat/>
    <w:pPr>
      <w:widowControl w:val="0"/>
    </w:pPr>
    <w:rPr>
      <w:rFonts w:ascii="Calibri" w:eastAsia="Calibri" w:hAnsi="Calibri" w:cs="Liberation Serif"/>
      <w:kern w:val="2"/>
      <w:sz w:val="24"/>
      <w:szCs w:val="20"/>
      <w:lang w:eastAsia="hi-IN"/>
    </w:rPr>
  </w:style>
  <w:style w:type="paragraph" w:customStyle="1" w:styleId="af">
    <w:name w:val="Таблицы (моноширинный)"/>
    <w:basedOn w:val="a"/>
    <w:qFormat/>
    <w:rPr>
      <w:rFonts w:ascii="Arial" w:hAnsi="Arial"/>
      <w:lang w:eastAsia="ar-SA"/>
    </w:rPr>
  </w:style>
  <w:style w:type="paragraph" w:styleId="af0">
    <w:name w:val="No Spacing"/>
    <w:qFormat/>
    <w:rPr>
      <w:rFonts w:ascii="Times New Roman" w:eastAsia="Times New Roman" w:hAnsi="Times New Roman" w:cs="Liberation Serif"/>
      <w:kern w:val="2"/>
      <w:sz w:val="24"/>
      <w:szCs w:val="24"/>
      <w:lang w:eastAsia="hi-IN"/>
    </w:rPr>
  </w:style>
  <w:style w:type="paragraph" w:customStyle="1" w:styleId="13">
    <w:name w:val="13"/>
    <w:basedOn w:val="a"/>
    <w:qFormat/>
    <w:rPr>
      <w:sz w:val="28"/>
      <w:lang w:eastAsia="ru-RU"/>
    </w:rPr>
  </w:style>
  <w:style w:type="table" w:styleId="af1">
    <w:name w:val="Table Grid"/>
    <w:basedOn w:val="a1"/>
    <w:uiPriority w:val="39"/>
    <w:rsid w:val="00DE6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D3248-EE19-4DF9-8C7F-D14D9B5E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Лариса Геннадьевна</dc:creator>
  <dc:description/>
  <cp:lastModifiedBy>Адм. Красночетайского района - Екатерина Романова</cp:lastModifiedBy>
  <cp:revision>9</cp:revision>
  <dcterms:created xsi:type="dcterms:W3CDTF">2024-02-13T12:53:00Z</dcterms:created>
  <dcterms:modified xsi:type="dcterms:W3CDTF">2026-02-18T12:44:00Z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