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23" w:rsidRDefault="003F4423" w:rsidP="003F44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0490" w:firstLine="0"/>
        <w:rPr>
          <w:rFonts w:ascii="TimesET" w:hAnsi="TimesET"/>
          <w:kern w:val="0"/>
          <w:lang w:eastAsia="ru-RU"/>
        </w:rPr>
      </w:pPr>
      <w:r>
        <w:rPr>
          <w:rFonts w:ascii="TimesET" w:hAnsi="TimesET"/>
          <w:kern w:val="0"/>
          <w:lang w:eastAsia="ru-RU"/>
        </w:rPr>
        <w:t>УТВЕРЖДЕН</w:t>
      </w:r>
    </w:p>
    <w:p w:rsidR="003F4423" w:rsidRDefault="003F4423" w:rsidP="003F44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0490" w:firstLine="0"/>
        <w:rPr>
          <w:rFonts w:ascii="TimesET" w:hAnsi="TimesET"/>
          <w:kern w:val="0"/>
          <w:lang w:eastAsia="ru-RU"/>
        </w:rPr>
      </w:pPr>
      <w:r>
        <w:rPr>
          <w:rFonts w:ascii="TimesET" w:hAnsi="TimesET"/>
          <w:kern w:val="0"/>
          <w:lang w:eastAsia="ru-RU"/>
        </w:rPr>
        <w:t>постановлением администрации</w:t>
      </w:r>
    </w:p>
    <w:p w:rsidR="003F4423" w:rsidRDefault="003F4423" w:rsidP="003F44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0490" w:firstLine="0"/>
        <w:rPr>
          <w:rFonts w:ascii="TimesET" w:hAnsi="TimesET"/>
          <w:kern w:val="0"/>
          <w:lang w:eastAsia="ru-RU"/>
        </w:rPr>
      </w:pPr>
      <w:r>
        <w:rPr>
          <w:rFonts w:ascii="TimesET" w:hAnsi="TimesET"/>
          <w:kern w:val="0"/>
          <w:lang w:eastAsia="ru-RU"/>
        </w:rPr>
        <w:t xml:space="preserve">Янтиковского муниципального округа </w:t>
      </w:r>
    </w:p>
    <w:p w:rsidR="003F4423" w:rsidRPr="00046090" w:rsidRDefault="003F4423" w:rsidP="003F44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0490" w:firstLine="0"/>
        <w:rPr>
          <w:rFonts w:ascii="TimesET" w:hAnsi="TimesET"/>
          <w:kern w:val="0"/>
          <w:lang w:eastAsia="ru-RU"/>
        </w:rPr>
      </w:pPr>
      <w:r>
        <w:rPr>
          <w:rFonts w:ascii="TimesET" w:hAnsi="TimesET"/>
          <w:kern w:val="0"/>
          <w:lang w:eastAsia="ru-RU"/>
        </w:rPr>
        <w:t xml:space="preserve">от </w:t>
      </w:r>
      <w:r w:rsidR="008E4C40" w:rsidRPr="00046090">
        <w:rPr>
          <w:rFonts w:ascii="TimesET" w:hAnsi="TimesET"/>
          <w:kern w:val="0"/>
          <w:lang w:eastAsia="ru-RU"/>
        </w:rPr>
        <w:t>15</w:t>
      </w:r>
      <w:r>
        <w:rPr>
          <w:rFonts w:ascii="TimesET" w:hAnsi="TimesET"/>
          <w:kern w:val="0"/>
          <w:lang w:eastAsia="ru-RU"/>
        </w:rPr>
        <w:t>.</w:t>
      </w:r>
      <w:r w:rsidR="008E4C40" w:rsidRPr="00046090">
        <w:rPr>
          <w:rFonts w:ascii="TimesET" w:hAnsi="TimesET"/>
          <w:kern w:val="0"/>
          <w:lang w:eastAsia="ru-RU"/>
        </w:rPr>
        <w:t>05</w:t>
      </w:r>
      <w:r>
        <w:rPr>
          <w:rFonts w:ascii="TimesET" w:hAnsi="TimesET"/>
          <w:kern w:val="0"/>
          <w:lang w:eastAsia="ru-RU"/>
        </w:rPr>
        <w:t xml:space="preserve">.2023 № </w:t>
      </w:r>
      <w:r w:rsidR="008E4C40" w:rsidRPr="00046090">
        <w:rPr>
          <w:rFonts w:ascii="TimesET" w:hAnsi="TimesET"/>
          <w:kern w:val="0"/>
          <w:lang w:eastAsia="ru-RU"/>
        </w:rPr>
        <w:t>422</w:t>
      </w:r>
    </w:p>
    <w:p w:rsidR="006C406D" w:rsidRPr="006C406D" w:rsidRDefault="006C406D" w:rsidP="003F442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0490" w:firstLine="0"/>
        <w:jc w:val="center"/>
        <w:rPr>
          <w:rFonts w:ascii="TimesET" w:hAnsi="TimesET"/>
          <w:b/>
          <w:color w:val="000000"/>
          <w:kern w:val="0"/>
          <w:sz w:val="28"/>
          <w:szCs w:val="28"/>
          <w:lang w:eastAsia="ru-RU"/>
        </w:rPr>
      </w:pPr>
    </w:p>
    <w:p w:rsidR="006C406D" w:rsidRPr="006C406D" w:rsidRDefault="006C406D" w:rsidP="006C406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firstLine="0"/>
        <w:jc w:val="center"/>
        <w:rPr>
          <w:rFonts w:ascii="TimesET" w:hAnsi="TimesET"/>
          <w:b/>
          <w:color w:val="000000"/>
          <w:kern w:val="0"/>
          <w:sz w:val="28"/>
          <w:szCs w:val="28"/>
          <w:lang w:eastAsia="ru-RU"/>
        </w:rPr>
      </w:pPr>
    </w:p>
    <w:p w:rsidR="006C406D" w:rsidRPr="006C406D" w:rsidRDefault="006C406D" w:rsidP="006C406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firstLine="0"/>
        <w:jc w:val="center"/>
        <w:rPr>
          <w:rFonts w:ascii="TimesET" w:hAnsi="TimesET"/>
          <w:b/>
          <w:color w:val="000000"/>
          <w:kern w:val="0"/>
          <w:lang w:eastAsia="ru-RU"/>
        </w:rPr>
      </w:pPr>
      <w:r w:rsidRPr="006C406D">
        <w:rPr>
          <w:rFonts w:ascii="TimesET" w:hAnsi="TimesET"/>
          <w:b/>
          <w:color w:val="000000"/>
          <w:kern w:val="0"/>
          <w:lang w:eastAsia="ru-RU"/>
        </w:rPr>
        <w:t>МУНИЦИПАЛЬНАЯ ПРОГРАММА ЦИФРОВОЙ ТРАНСФОРМАЦИИ ЯНТИКОВСКОГО МУНИЦИПАЛЬНОГО ОКРУГА ЧУВАШСКОЙ РЕСПУБЛИКИ (ДАЛЕЕ – МУНИЦИПАЛЬНАЯ ПРОГРАММА)</w:t>
      </w:r>
    </w:p>
    <w:p w:rsidR="006C406D" w:rsidRPr="006C406D" w:rsidRDefault="006C406D" w:rsidP="006C406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firstLine="0"/>
        <w:jc w:val="center"/>
        <w:rPr>
          <w:rFonts w:ascii="TimesET" w:hAnsi="TimesET"/>
          <w:color w:val="000000"/>
          <w:kern w:val="0"/>
          <w:lang w:eastAsia="ru-RU"/>
        </w:rPr>
      </w:pPr>
    </w:p>
    <w:p w:rsidR="006C406D" w:rsidRPr="006C406D" w:rsidRDefault="006C406D" w:rsidP="006C406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firstLine="0"/>
        <w:jc w:val="center"/>
        <w:rPr>
          <w:rFonts w:ascii="TimesET" w:hAnsi="TimesET"/>
          <w:b/>
          <w:color w:val="000000"/>
          <w:kern w:val="0"/>
          <w:lang w:eastAsia="ru-RU"/>
        </w:rPr>
      </w:pPr>
      <w:r w:rsidRPr="006C406D">
        <w:rPr>
          <w:rFonts w:ascii="TimesET" w:hAnsi="TimesET"/>
          <w:b/>
          <w:color w:val="000000"/>
          <w:kern w:val="0"/>
          <w:lang w:eastAsia="ru-RU"/>
        </w:rPr>
        <w:t>Паспорт муниципальной программы</w:t>
      </w:r>
    </w:p>
    <w:p w:rsidR="006C406D" w:rsidRPr="006C406D" w:rsidRDefault="006C406D" w:rsidP="006C406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firstLine="0"/>
        <w:jc w:val="center"/>
        <w:rPr>
          <w:rFonts w:ascii="TimesET" w:hAnsi="TimesET"/>
          <w:color w:val="000000"/>
          <w:kern w:val="0"/>
          <w:sz w:val="28"/>
          <w:szCs w:val="28"/>
          <w:lang w:eastAsia="ru-RU"/>
        </w:rPr>
      </w:pPr>
    </w:p>
    <w:tbl>
      <w:tblPr>
        <w:tblW w:w="14455" w:type="dxa"/>
        <w:jc w:val="center"/>
        <w:tblLayout w:type="fixed"/>
        <w:tblLook w:val="0000" w:firstRow="0" w:lastRow="0" w:firstColumn="0" w:lastColumn="0" w:noHBand="0" w:noVBand="0"/>
      </w:tblPr>
      <w:tblGrid>
        <w:gridCol w:w="528"/>
        <w:gridCol w:w="6381"/>
        <w:gridCol w:w="2996"/>
        <w:gridCol w:w="4550"/>
      </w:tblGrid>
      <w:tr w:rsidR="006C406D" w:rsidRPr="006C406D" w:rsidTr="003F4423">
        <w:trPr>
          <w:trHeight w:val="23"/>
          <w:jc w:val="center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Муниципальная программа цифровой трансформации Янтиковского муниципального округа Чувашской Республики</w:t>
            </w:r>
          </w:p>
        </w:tc>
      </w:tr>
      <w:tr w:rsidR="006C406D" w:rsidRPr="006C406D" w:rsidTr="003F4423">
        <w:trPr>
          <w:trHeight w:val="23"/>
          <w:jc w:val="center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2023-2024 гг.</w:t>
            </w:r>
          </w:p>
        </w:tc>
      </w:tr>
      <w:tr w:rsidR="006C406D" w:rsidRPr="006C406D" w:rsidTr="003F4423">
        <w:trPr>
          <w:trHeight w:val="23"/>
          <w:jc w:val="center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" w:eastAsia="Times" w:hAnsi="Times" w:cs="Times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Наименование ответственного исполнителя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</w:tr>
      <w:tr w:rsidR="006C406D" w:rsidRPr="006C406D" w:rsidTr="003F4423">
        <w:trPr>
          <w:trHeight w:val="23"/>
          <w:jc w:val="center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</w:p>
        </w:tc>
      </w:tr>
      <w:tr w:rsidR="006C406D" w:rsidRPr="006C406D" w:rsidTr="003F4423">
        <w:trPr>
          <w:trHeight w:val="23"/>
          <w:jc w:val="center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" w:eastAsia="Times" w:hAnsi="Times" w:cs="Times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Руководитель цифровой трансформации ОМСУ, ответственного за муниципальную программу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Заместитель главы администрации Янтиковского муниципального округа – начальник отдела организационно-контрольной, кадровой работы и цифрового развития Потапова Ирина Анатольевна</w:t>
            </w:r>
          </w:p>
        </w:tc>
      </w:tr>
      <w:tr w:rsidR="006C406D" w:rsidRPr="006C406D" w:rsidTr="003F4423">
        <w:trPr>
          <w:trHeight w:val="23"/>
          <w:jc w:val="center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" w:eastAsia="Times" w:hAnsi="Times" w:cs="Times"/>
                <w:color w:val="000000"/>
                <w:kern w:val="0"/>
                <w:lang w:eastAsia="ru-RU"/>
              </w:rPr>
            </w:pPr>
            <w:r w:rsidRPr="006C406D">
              <w:rPr>
                <w:rFonts w:ascii="TimesET" w:eastAsia="Times" w:hAnsi="TimesET"/>
                <w:color w:val="000000"/>
                <w:kern w:val="0"/>
                <w:lang w:eastAsia="ru-RU"/>
              </w:rPr>
              <w:t xml:space="preserve">Цель </w:t>
            </w: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Оказание качественных муниципальных услуг населению и бизнесу, создание равных возможностей для всех жителей муниципального округа, а также обеспечение среды для реализации потенциала каждого человека</w:t>
            </w:r>
          </w:p>
        </w:tc>
      </w:tr>
      <w:tr w:rsidR="006C406D" w:rsidRPr="006C406D" w:rsidTr="003F4423">
        <w:trPr>
          <w:trHeight w:val="389"/>
          <w:jc w:val="center"/>
        </w:trPr>
        <w:tc>
          <w:tcPr>
            <w:tcW w:w="14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Приоритеты цифровой трансформации Янтиковского муниципального округа (далее также - ПЦТМО) </w:t>
            </w:r>
          </w:p>
        </w:tc>
      </w:tr>
      <w:tr w:rsidR="006C406D" w:rsidRPr="006C406D" w:rsidTr="003F4423">
        <w:trPr>
          <w:trHeight w:val="1160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color w:val="000000"/>
                <w:kern w:val="0"/>
                <w:sz w:val="28"/>
                <w:szCs w:val="28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Код ПЦТ</w:t>
            </w: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lastRenderedPageBreak/>
              <w:t>МО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sz w:val="28"/>
                <w:szCs w:val="28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lastRenderedPageBreak/>
              <w:t>Наименование ПЦТМО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sz w:val="28"/>
                <w:szCs w:val="28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Кол-во показателей ПЦТМО (шт.)</w:t>
            </w:r>
            <w:r w:rsidRPr="006C406D">
              <w:rPr>
                <w:rFonts w:ascii="TimesET" w:hAnsi="TimesET"/>
                <w:color w:val="000000"/>
                <w:kern w:val="0"/>
                <w:vertAlign w:val="superscript"/>
                <w:lang w:eastAsia="ru-RU"/>
              </w:rPr>
              <w:t xml:space="preserve"> </w:t>
            </w:r>
            <w:r w:rsidRPr="006C406D">
              <w:rPr>
                <w:rFonts w:ascii="TimesET" w:hAnsi="TimesET"/>
                <w:color w:val="000000"/>
                <w:kern w:val="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sz w:val="28"/>
                <w:szCs w:val="28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Суммарные затраты на достижение ПЦТМО </w:t>
            </w:r>
            <w:r w:rsidRPr="006C406D">
              <w:rPr>
                <w:rFonts w:ascii="TimesET" w:hAnsi="TimesET"/>
                <w:kern w:val="0"/>
                <w:lang w:eastAsia="ru-RU"/>
              </w:rPr>
              <w:t xml:space="preserve">за 2 года </w:t>
            </w: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(тыс. руб.) </w:t>
            </w:r>
            <w:r w:rsidRPr="006C406D">
              <w:rPr>
                <w:rFonts w:ascii="TimesET" w:hAnsi="TimesET"/>
                <w:color w:val="000000"/>
                <w:kern w:val="0"/>
                <w:vertAlign w:val="superscript"/>
                <w:lang w:eastAsia="ru-RU"/>
              </w:rPr>
              <w:footnoteReference w:id="2"/>
            </w:r>
          </w:p>
        </w:tc>
      </w:tr>
      <w:tr w:rsidR="006C406D" w:rsidRPr="006C406D" w:rsidTr="003F4423">
        <w:trPr>
          <w:trHeight w:val="1148"/>
          <w:jc w:val="center"/>
        </w:trPr>
        <w:tc>
          <w:tcPr>
            <w:tcW w:w="14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b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b/>
                <w:color w:val="000000"/>
                <w:kern w:val="0"/>
                <w:lang w:eastAsia="ru-RU"/>
              </w:rPr>
              <w:t>Приоритеты цифровой трансформации муниципальных районов, муниципальных и городских округов в рамках достижения национальной цели развития Российской Федерации на период до 2030 года «Цифровая трансформация»</w:t>
            </w:r>
          </w:p>
          <w:p w:rsidR="006C406D" w:rsidRPr="006C406D" w:rsidRDefault="006C406D" w:rsidP="006C406D">
            <w:pPr>
              <w:shd w:val="clear" w:color="auto" w:fill="FFFFFF"/>
              <w:suppressAutoHyphens w:val="0"/>
              <w:spacing w:line="266" w:lineRule="auto"/>
              <w:ind w:left="2869" w:firstLine="0"/>
              <w:outlineLvl w:val="1"/>
              <w:rPr>
                <w:rFonts w:ascii="TimesET" w:hAnsi="TimesET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bookmarkStart w:id="0" w:name="_xygwpn730p2s" w:colFirst="0" w:colLast="0"/>
            <w:bookmarkEnd w:id="0"/>
            <w:r w:rsidRPr="006C406D">
              <w:rPr>
                <w:rFonts w:ascii="TimesET" w:hAnsi="TimesET"/>
                <w:color w:val="000000"/>
                <w:kern w:val="0"/>
                <w:sz w:val="20"/>
                <w:szCs w:val="20"/>
                <w:lang w:eastAsia="ru-RU"/>
              </w:rPr>
              <w:t>(в соответствии с Указом Президента Российской Федерации от 21 июля 2020 г. № 474 «О национальных целях развития Российской Федерации на период до 2030 года»)</w:t>
            </w:r>
          </w:p>
        </w:tc>
      </w:tr>
      <w:tr w:rsidR="006C406D" w:rsidRPr="006C406D" w:rsidTr="003F4423">
        <w:trPr>
          <w:trHeight w:val="14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Увеличение доли массовых социально значимых услуг, доступных в электронном виде до 95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0</w:t>
            </w:r>
          </w:p>
        </w:tc>
      </w:tr>
      <w:tr w:rsidR="006C406D" w:rsidRPr="006C406D" w:rsidTr="003F4423">
        <w:trPr>
          <w:trHeight w:val="14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sz w:val="28"/>
                <w:szCs w:val="28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color w:val="000000"/>
                <w:kern w:val="0"/>
                <w:sz w:val="28"/>
                <w:szCs w:val="28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 до 100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0</w:t>
            </w:r>
          </w:p>
        </w:tc>
      </w:tr>
      <w:tr w:rsidR="006C406D" w:rsidRPr="006C406D" w:rsidTr="003F4423">
        <w:trPr>
          <w:trHeight w:val="14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Рост доли домохозяйств, которым обеспечена возможность широкополосного доступа к информационно-телекоммуникационной сети «Интернет», до 97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0</w:t>
            </w:r>
          </w:p>
        </w:tc>
      </w:tr>
      <w:tr w:rsidR="006C406D" w:rsidRPr="006C406D" w:rsidTr="003F4423">
        <w:trPr>
          <w:trHeight w:val="14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>Повышение уровня жизни населения за счет увеличения количества и роста качества и прозрачности предоставления государственных услуг населению посредством цифровых сервисов, улучшения «обратной связи» и роста вовлеченности граждан и бизнеса в принятие решений; создания комфортной городской среды; создания высокотехнологичных рабочих мест; снижения загрязнения окружающей среды; повышения уровня здравоохранения и образования; повышения культурного уровня и пр.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14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0</w:t>
            </w:r>
          </w:p>
        </w:tc>
      </w:tr>
      <w:tr w:rsidR="006C406D" w:rsidRPr="006C406D" w:rsidTr="003F4423">
        <w:trPr>
          <w:trHeight w:val="14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>Создание и внедрение цифровой экосистемы государственного управления по всем отраслям экономики и социальной сферы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2B0683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>
              <w:rPr>
                <w:rFonts w:ascii="TimesET" w:hAnsi="TimesET"/>
                <w:color w:val="000000"/>
                <w:kern w:val="0"/>
                <w:lang w:eastAsia="ru-RU"/>
              </w:rPr>
              <w:t>600</w:t>
            </w:r>
          </w:p>
        </w:tc>
      </w:tr>
      <w:tr w:rsidR="006C406D" w:rsidRPr="006C406D" w:rsidTr="003F4423">
        <w:trPr>
          <w:trHeight w:val="14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>Обеспечение потребности экономики Чувашской Республики квалифицированными кадрами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0</w:t>
            </w:r>
          </w:p>
        </w:tc>
      </w:tr>
      <w:tr w:rsidR="006C406D" w:rsidRPr="006C406D" w:rsidTr="003F4423">
        <w:trPr>
          <w:trHeight w:val="14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 xml:space="preserve">Преимущественное внедрение и использование </w:t>
            </w:r>
            <w:r w:rsidRPr="006C406D">
              <w:rPr>
                <w:rFonts w:ascii="TimesET" w:hAnsi="TimesET"/>
                <w:kern w:val="0"/>
                <w:lang w:eastAsia="ru-RU"/>
              </w:rPr>
              <w:lastRenderedPageBreak/>
              <w:t>отечественных программных, программно-аппаратных комплексов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lastRenderedPageBreak/>
              <w:t>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0</w:t>
            </w:r>
          </w:p>
        </w:tc>
      </w:tr>
      <w:tr w:rsidR="006C406D" w:rsidRPr="006C406D" w:rsidTr="003F4423">
        <w:trPr>
          <w:trHeight w:val="23"/>
          <w:jc w:val="center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Задачи муниципальной программы: 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suppressAutoHyphens w:val="0"/>
              <w:spacing w:line="245" w:lineRule="auto"/>
              <w:ind w:firstLine="0"/>
              <w:rPr>
                <w:rFonts w:ascii="TimesET" w:hAnsi="TimesET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>1. Использование «сквозных» цифровых технологий при разработке и внедрении цифровых технологий по приоритетным отраслям экономики и социальной сферы в Чувашской Республике.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>2. Обеспечение качественного скачка в развитии приоритетных отраслей, в том числе креативных индустрий, обеспечение более высоких темпов роста валового регионального продукта за счет внедрения цифровых технологий.</w:t>
            </w:r>
          </w:p>
        </w:tc>
      </w:tr>
      <w:tr w:rsidR="006C406D" w:rsidRPr="006C406D" w:rsidTr="003F4423">
        <w:trPr>
          <w:trHeight w:val="23"/>
          <w:jc w:val="center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" w:eastAsia="Times" w:hAnsi="Times" w:cs="Times"/>
                <w:color w:val="000000"/>
                <w:kern w:val="0"/>
                <w:sz w:val="28"/>
                <w:szCs w:val="28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Ожидаемые результаты реализации муниципальной программы:</w:t>
            </w:r>
            <w:r w:rsidRPr="006C406D">
              <w:rPr>
                <w:rFonts w:ascii="TimesET" w:hAnsi="TimesET"/>
                <w:color w:val="000000"/>
                <w:kern w:val="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5" w:lineRule="auto"/>
              <w:ind w:firstLine="0"/>
              <w:rPr>
                <w:rFonts w:ascii="TimesET" w:hAnsi="TimesET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>Результат 1.1. Увеличение доли массовых социально значимых услуг, доступных в электронном виде, до 95 процентов к 2024 году.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5" w:lineRule="auto"/>
              <w:ind w:firstLine="0"/>
              <w:rPr>
                <w:rFonts w:ascii="TimesET" w:hAnsi="TimesET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>Результат 2.1. 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управления, до 32 процентов к 2024 году.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5" w:lineRule="auto"/>
              <w:ind w:firstLine="0"/>
              <w:rPr>
                <w:rFonts w:ascii="TimesET" w:hAnsi="TimesET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 xml:space="preserve">Результат 3.1. Рост доли домохозяйств, которым обеспечена возможность широкополосного доступа к сети «Интернет», до 84 процентов к 2024 году. </w:t>
            </w:r>
          </w:p>
          <w:p w:rsidR="006C406D" w:rsidRPr="006C406D" w:rsidRDefault="006C406D" w:rsidP="006C406D">
            <w:pPr>
              <w:suppressAutoHyphens w:val="0"/>
              <w:spacing w:line="245" w:lineRule="auto"/>
              <w:ind w:firstLine="0"/>
              <w:rPr>
                <w:rFonts w:ascii="TimesET" w:hAnsi="TimesET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>Результат 4.1. Достижение уровня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 (далее – ЕПГУ) до 4,4 балла к 2024 году.</w:t>
            </w:r>
          </w:p>
          <w:p w:rsidR="006C406D" w:rsidRPr="006C406D" w:rsidRDefault="006C406D" w:rsidP="006C406D">
            <w:pPr>
              <w:suppressAutoHyphens w:val="0"/>
              <w:spacing w:line="245" w:lineRule="auto"/>
              <w:ind w:firstLine="0"/>
              <w:rPr>
                <w:rFonts w:ascii="TimesET" w:hAnsi="TimesET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>Результат 4.2. Увеличение доли населения, вовлеченного в онлайн-голосование по вопросам развития городской среды, до 50 процентов к 2024 году.</w:t>
            </w:r>
          </w:p>
          <w:p w:rsidR="006C406D" w:rsidRPr="006C406D" w:rsidRDefault="006C406D" w:rsidP="006C406D">
            <w:pPr>
              <w:suppressAutoHyphens w:val="0"/>
              <w:spacing w:line="245" w:lineRule="auto"/>
              <w:ind w:firstLine="0"/>
              <w:rPr>
                <w:rFonts w:ascii="TimesET" w:hAnsi="TimesET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 xml:space="preserve">Результат 5.1. </w:t>
            </w:r>
            <w:r w:rsidRPr="006C406D">
              <w:rPr>
                <w:rFonts w:ascii="TimesET" w:hAnsi="TimesET"/>
                <w:kern w:val="0"/>
                <w:sz w:val="26"/>
                <w:szCs w:val="26"/>
                <w:lang w:eastAsia="ru-RU"/>
              </w:rPr>
              <w:t>Внедрение востребованных цифровых механизмов взаимодействия между государством, населением и бизнесом.</w:t>
            </w:r>
          </w:p>
          <w:p w:rsidR="006C406D" w:rsidRPr="006C406D" w:rsidRDefault="006C406D" w:rsidP="006C406D">
            <w:pPr>
              <w:suppressAutoHyphens w:val="0"/>
              <w:spacing w:line="245" w:lineRule="auto"/>
              <w:ind w:firstLine="0"/>
              <w:rPr>
                <w:rFonts w:ascii="TimesET" w:hAnsi="TimesET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 xml:space="preserve">Результат 6.1. Количество государственных (муниципальных) служащих и работников учреждений, прошедших обучение </w:t>
            </w:r>
            <w:r w:rsidRPr="006C406D">
              <w:rPr>
                <w:rFonts w:ascii="TimesET" w:hAnsi="TimesET"/>
                <w:kern w:val="0"/>
                <w:lang w:eastAsia="ru-RU"/>
              </w:rPr>
              <w:lastRenderedPageBreak/>
              <w:t>компетенциям в сфере цифровой трансформации государственного и муниципального управления, не менее 70 человек к 2024 году.</w:t>
            </w:r>
          </w:p>
          <w:p w:rsidR="006C406D" w:rsidRPr="006C406D" w:rsidRDefault="006C406D" w:rsidP="006C406D">
            <w:pPr>
              <w:suppressAutoHyphens w:val="0"/>
              <w:spacing w:line="245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>Результат 7.1. Увеличение доли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 до 80 процентов к 2024 году.</w:t>
            </w:r>
          </w:p>
        </w:tc>
      </w:tr>
      <w:tr w:rsidR="006C406D" w:rsidRPr="006C406D" w:rsidTr="003F4423">
        <w:trPr>
          <w:trHeight w:val="23"/>
          <w:jc w:val="center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highlight w:val="yellow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lastRenderedPageBreak/>
              <w:t>Источники финансирования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04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Муниципальная программа Янтиковского </w:t>
            </w:r>
            <w:r w:rsidR="00046090">
              <w:rPr>
                <w:rFonts w:ascii="TimesET" w:hAnsi="TimesET"/>
                <w:color w:val="000000"/>
                <w:kern w:val="0"/>
                <w:lang w:eastAsia="ru-RU"/>
              </w:rPr>
              <w:t>муниципального округа</w:t>
            </w:r>
            <w:bookmarkStart w:id="1" w:name="_GoBack"/>
            <w:bookmarkEnd w:id="1"/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 Чувашской Республики «Повышение безопасности жизнедеятельности населения и территорий Янтиковского </w:t>
            </w:r>
            <w:r w:rsidR="00195206">
              <w:rPr>
                <w:rFonts w:ascii="TimesET" w:hAnsi="TimesET"/>
                <w:color w:val="000000"/>
                <w:kern w:val="0"/>
                <w:lang w:eastAsia="ru-RU"/>
              </w:rPr>
              <w:t>муниципльного округа</w:t>
            </w: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 Чувашской Республики», утвержденная постановлением № </w:t>
            </w:r>
            <w:r w:rsidR="00195206">
              <w:rPr>
                <w:rFonts w:ascii="TimesET" w:hAnsi="TimesET"/>
                <w:color w:val="000000"/>
                <w:kern w:val="0"/>
                <w:lang w:eastAsia="ru-RU"/>
              </w:rPr>
              <w:t>541</w:t>
            </w: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 от </w:t>
            </w:r>
            <w:r w:rsidR="00195206">
              <w:rPr>
                <w:rFonts w:ascii="TimesET" w:hAnsi="TimesET"/>
                <w:color w:val="000000"/>
                <w:kern w:val="0"/>
                <w:lang w:eastAsia="ru-RU"/>
              </w:rPr>
              <w:t>23.06</w:t>
            </w: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.20</w:t>
            </w:r>
            <w:r w:rsidR="00195206">
              <w:rPr>
                <w:rFonts w:ascii="TimesET" w:hAnsi="TimesET"/>
                <w:color w:val="000000"/>
                <w:kern w:val="0"/>
                <w:lang w:eastAsia="ru-RU"/>
              </w:rPr>
              <w:t>23</w:t>
            </w:r>
          </w:p>
        </w:tc>
      </w:tr>
      <w:tr w:rsidR="006C406D" w:rsidRPr="006C406D" w:rsidTr="003F4423">
        <w:trPr>
          <w:trHeight w:val="23"/>
          <w:jc w:val="center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Ресурсное обеспечение реализации муниципальной программы: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Общий объем финансирования по годам реализации составляет: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2023 год – </w:t>
            </w:r>
            <w:r w:rsidR="002B0683">
              <w:rPr>
                <w:rFonts w:ascii="TimesET" w:hAnsi="TimesET"/>
                <w:color w:val="000000"/>
                <w:kern w:val="0"/>
                <w:lang w:eastAsia="ru-RU"/>
              </w:rPr>
              <w:t>300</w:t>
            </w: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 тыс. рублей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2024 год – 300 тыс. рублей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Объем финансирования за счет средств </w:t>
            </w:r>
            <w:r w:rsidRPr="006C406D">
              <w:rPr>
                <w:rFonts w:ascii="TimesET" w:hAnsi="TimesET"/>
                <w:kern w:val="0"/>
                <w:lang w:eastAsia="ru-RU"/>
              </w:rPr>
              <w:t>республиканского бюджета Чувашской Республики</w:t>
            </w: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 по годам реализации составляет: 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2023 год – 0 тыс. рублей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2024 год – 0 тыс. рублей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Объем финансирования за счет средств бюджета Янтиковского муниципального округа Чувашской Республики: 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2023 год – </w:t>
            </w:r>
            <w:r w:rsidR="00DB43B5">
              <w:rPr>
                <w:rFonts w:ascii="TimesET" w:hAnsi="TimesET"/>
                <w:color w:val="000000"/>
                <w:kern w:val="0"/>
                <w:lang w:eastAsia="ru-RU"/>
              </w:rPr>
              <w:t>300</w:t>
            </w: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 тыс. рублей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2024 год – </w:t>
            </w:r>
            <w:r w:rsidR="003047A3">
              <w:rPr>
                <w:rFonts w:ascii="TimesET" w:hAnsi="TimesET"/>
                <w:color w:val="000000"/>
                <w:kern w:val="0"/>
                <w:lang w:eastAsia="ru-RU"/>
              </w:rPr>
              <w:t>300</w:t>
            </w: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 тыс. рублей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Объем финансирования за счет средств внебюджетных источников по годам реализации составляет: 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2023 год – 0 тыс. рублей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2024 год – 0 тыс. рублей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</w:p>
        </w:tc>
      </w:tr>
    </w:tbl>
    <w:p w:rsidR="006C406D" w:rsidRPr="006C406D" w:rsidRDefault="006C406D" w:rsidP="006C406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firstLine="0"/>
        <w:jc w:val="center"/>
        <w:rPr>
          <w:rFonts w:ascii="TimesET" w:hAnsi="TimesET"/>
          <w:kern w:val="0"/>
          <w:lang w:eastAsia="ru-RU"/>
        </w:rPr>
      </w:pPr>
    </w:p>
    <w:p w:rsidR="006C406D" w:rsidRPr="006C406D" w:rsidRDefault="006C406D" w:rsidP="0050206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sectPr w:rsidR="006C406D" w:rsidRPr="006C406D" w:rsidSect="006C406D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  <w:footnote w:id="1">
    <w:p w:rsidR="006C406D" w:rsidRPr="005E42D5" w:rsidRDefault="006C406D" w:rsidP="006C406D">
      <w:p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Заполняется на основе данных из разделов 1 и 2</w:t>
      </w:r>
    </w:p>
  </w:footnote>
  <w:footnote w:id="2">
    <w:p w:rsidR="006C406D" w:rsidRPr="005E42D5" w:rsidRDefault="006C406D" w:rsidP="006C406D">
      <w:p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Заполняется на основе данных из разделов 1 и 2</w:t>
      </w:r>
    </w:p>
  </w:footnote>
  <w:footnote w:id="3">
    <w:p w:rsidR="006C406D" w:rsidRPr="005E42D5" w:rsidRDefault="006C406D" w:rsidP="006C406D">
      <w:p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Первая цифра кода результата должна отражать принадлежность соответствующему приоритету цифровой трансформации </w:t>
      </w:r>
      <w:r w:rsidRPr="00467075">
        <w:rPr>
          <w:rFonts w:eastAsia="Times"/>
        </w:rPr>
        <w:t xml:space="preserve">муниципального </w:t>
      </w:r>
      <w:r>
        <w:rPr>
          <w:rFonts w:eastAsia="Times"/>
        </w:rPr>
        <w:t>района,</w:t>
      </w:r>
      <w:r w:rsidRPr="00467075">
        <w:t xml:space="preserve"> </w:t>
      </w:r>
      <w:r w:rsidRPr="00467075">
        <w:rPr>
          <w:rFonts w:eastAsia="Times"/>
        </w:rPr>
        <w:t>муниципальных и городских округов</w:t>
      </w:r>
      <w:r w:rsidRPr="00467075">
        <w:rPr>
          <w:rFonts w:eastAsia="Times"/>
          <w:color w:val="00000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090"/>
    <w:rsid w:val="000462D5"/>
    <w:rsid w:val="000513C0"/>
    <w:rsid w:val="000628CC"/>
    <w:rsid w:val="00064C4B"/>
    <w:rsid w:val="0006696E"/>
    <w:rsid w:val="00066DD8"/>
    <w:rsid w:val="00067816"/>
    <w:rsid w:val="000716C6"/>
    <w:rsid w:val="00071E57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449EF"/>
    <w:rsid w:val="00155C41"/>
    <w:rsid w:val="0016306A"/>
    <w:rsid w:val="00165066"/>
    <w:rsid w:val="00175F9E"/>
    <w:rsid w:val="001771D2"/>
    <w:rsid w:val="0019034A"/>
    <w:rsid w:val="00195206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B0683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47A3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3F4423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067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2C61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C406D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E4C40"/>
    <w:rsid w:val="008F30F7"/>
    <w:rsid w:val="009028EE"/>
    <w:rsid w:val="00905411"/>
    <w:rsid w:val="009077AC"/>
    <w:rsid w:val="00907F58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32D"/>
    <w:rsid w:val="00BD26DC"/>
    <w:rsid w:val="00BD66C4"/>
    <w:rsid w:val="00BE19DA"/>
    <w:rsid w:val="00BE3B4C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3B5"/>
    <w:rsid w:val="00DB4CED"/>
    <w:rsid w:val="00DB593E"/>
    <w:rsid w:val="00DB6198"/>
    <w:rsid w:val="00DC5BEC"/>
    <w:rsid w:val="00DC7060"/>
    <w:rsid w:val="00DD3443"/>
    <w:rsid w:val="00DE0DAF"/>
    <w:rsid w:val="00DE5174"/>
    <w:rsid w:val="00DE535F"/>
    <w:rsid w:val="00DE5541"/>
    <w:rsid w:val="00DE7E40"/>
    <w:rsid w:val="00DF2B5C"/>
    <w:rsid w:val="00E01FF9"/>
    <w:rsid w:val="00E062FD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  <w14:docId w14:val="33442010"/>
  <w15:docId w15:val="{7B399504-D922-4493-9878-F53A3B46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43E07-0971-4C9B-9D41-3A8CABE3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yantik_info</cp:lastModifiedBy>
  <cp:revision>206</cp:revision>
  <cp:lastPrinted>2023-05-16T06:10:00Z</cp:lastPrinted>
  <dcterms:created xsi:type="dcterms:W3CDTF">2023-01-09T05:07:00Z</dcterms:created>
  <dcterms:modified xsi:type="dcterms:W3CDTF">2023-06-28T07:33:00Z</dcterms:modified>
</cp:coreProperties>
</file>