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 w:rsidRPr="00945B8D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710FCB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ьдесят </w:t>
      </w:r>
      <w:r w:rsidR="007A665C">
        <w:rPr>
          <w:rFonts w:ascii="Times New Roman" w:eastAsia="Times New Roman" w:hAnsi="Times New Roman"/>
          <w:sz w:val="24"/>
          <w:szCs w:val="24"/>
          <w:lang w:eastAsia="ru-RU"/>
        </w:rPr>
        <w:t>девятого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7A665C">
        <w:rPr>
          <w:rFonts w:ascii="Times New Roman" w:hAnsi="Times New Roman"/>
          <w:b/>
          <w:sz w:val="24"/>
          <w:szCs w:val="24"/>
        </w:rPr>
        <w:t>25 апреля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A665C" w:rsidRPr="00461DF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14 декабря 2023 г. № С 54-1 «О бюджете города Новочебоксарска на 2024 год и на плановый период 2025 и 2026 годов»;</w:t>
      </w:r>
    </w:p>
    <w:p w:rsidR="007A665C" w:rsidRPr="005619D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619DC">
        <w:rPr>
          <w:rFonts w:ascii="Times New Roman" w:hAnsi="Times New Roman"/>
          <w:bCs/>
          <w:sz w:val="24"/>
          <w:szCs w:val="24"/>
        </w:rPr>
        <w:t>О назначении даты проведения публичных слушаний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A665C" w:rsidRPr="00461DF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30 октября 2014 года</w:t>
      </w:r>
      <w:proofErr w:type="gramStart"/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68-4;</w:t>
      </w:r>
    </w:p>
    <w:p w:rsidR="007A665C" w:rsidRPr="00461DF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29 сентября 2022 г. № С 33-9;</w:t>
      </w:r>
    </w:p>
    <w:p w:rsidR="007A665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40D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и дополнений в решение Новочебоксарского городского Собрания депутатов Чувашской Республики от  19.03.2009</w:t>
      </w:r>
      <w:proofErr w:type="gramStart"/>
      <w:r w:rsidRPr="00BD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BD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D3C79" w:rsidRPr="00945B8D" w:rsidRDefault="00BD3C79" w:rsidP="001F756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5C3D76" w:rsidRDefault="005C3D76" w:rsidP="00BD3C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802D50" w:rsidRPr="00945B8D" w:rsidRDefault="00802D50" w:rsidP="00802D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1F756C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76B45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95F0-1758-4B43-AE3E-3827842B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29</cp:revision>
  <cp:lastPrinted>2023-09-12T09:31:00Z</cp:lastPrinted>
  <dcterms:created xsi:type="dcterms:W3CDTF">2023-10-18T13:45:00Z</dcterms:created>
  <dcterms:modified xsi:type="dcterms:W3CDTF">2024-04-22T11:28:00Z</dcterms:modified>
</cp:coreProperties>
</file>