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wmf" ContentType="image/x-wmf"/>
  <Override PartName="/word/media/image3.wmf" ContentType="image/x-wmf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80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960"/>
        <w:gridCol w:w="1793"/>
        <w:gridCol w:w="4327"/>
      </w:tblGrid>
      <w:tr>
        <w:trPr/>
        <w:tc>
          <w:tcPr>
            <w:tcW w:w="3960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rFonts w:ascii="Arial Cyr Chuv" w:hAnsi="Arial Cyr Chuv"/>
              </w:rPr>
            </w:pPr>
            <w:r>
              <w:rPr>
                <w:rFonts w:cs="Arial Cyr Chuv" w:ascii="Arial Cyr Chuv" w:hAnsi="Arial Cyr Chuv"/>
                <w:b/>
                <w:bCs/>
                <w:iCs/>
                <w:sz w:val="26"/>
                <w:szCs w:val="26"/>
              </w:rPr>
              <w:t>Чёваш Республики</w:t>
            </w:r>
          </w:p>
          <w:p>
            <w:pPr>
              <w:pStyle w:val="Normal"/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</w:t>
            </w:r>
            <w:r>
              <w:rPr>
                <w:b/>
                <w:sz w:val="26"/>
                <w:szCs w:val="26"/>
              </w:rPr>
              <w:t>ă</w:t>
            </w:r>
          </w:p>
          <w:p>
            <w:pPr>
              <w:pStyle w:val="Normal"/>
              <w:tabs>
                <w:tab w:val="clear" w:pos="720"/>
                <w:tab w:val="left" w:pos="896" w:leader="none"/>
              </w:tabs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>
            <w:pPr>
              <w:pStyle w:val="Normal"/>
              <w:jc w:val="center"/>
              <w:rPr>
                <w:rFonts w:ascii="Arial Cyr Chuv" w:hAnsi="Arial Cyr Chuv"/>
                <w:sz w:val="16"/>
                <w:szCs w:val="16"/>
              </w:rPr>
            </w:pPr>
            <w:r>
              <w:rPr>
                <w:rFonts w:ascii="Arial Cyr Chuv" w:hAnsi="Arial Cyr Chuv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муниципалё</w:t>
            </w:r>
          </w:p>
          <w:p>
            <w:pPr>
              <w:pStyle w:val="Normal"/>
              <w:tabs>
                <w:tab w:val="clear" w:pos="720"/>
                <w:tab w:val="left" w:pos="896" w:leader="none"/>
              </w:tabs>
              <w:spacing w:before="0" w:after="0"/>
              <w:contextualSpacing/>
              <w:jc w:val="center"/>
              <w:rPr>
                <w:rFonts w:ascii="Arial Cyr Chuv" w:hAnsi="Arial Cyr Chuv"/>
                <w:b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округ.н</w:t>
            </w:r>
          </w:p>
          <w:p>
            <w:pPr>
              <w:pStyle w:val="Normal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>администраций.</w:t>
            </w:r>
          </w:p>
          <w:p>
            <w:pPr>
              <w:pStyle w:val="Normal"/>
              <w:jc w:val="center"/>
              <w:rPr>
                <w:rFonts w:ascii="Arial Cyr Chuv" w:hAnsi="Arial Cyr Chuv" w:cs="Arial Cyr Chuv"/>
                <w:b/>
                <w:b/>
                <w:sz w:val="26"/>
              </w:rPr>
            </w:pPr>
            <w:r>
              <w:rPr>
                <w:rFonts w:cs="Arial Cyr Chuv" w:ascii="Arial Cyr Chuv" w:hAnsi="Arial Cyr Chuv"/>
                <w:b/>
                <w:sz w:val="26"/>
              </w:rPr>
              <w:t>ЙЫШЁНУ</w:t>
            </w:r>
          </w:p>
          <w:p>
            <w:pPr>
              <w:pStyle w:val="Normal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/>
              </w:rPr>
            </w:r>
          </w:p>
          <w:p>
            <w:pPr>
              <w:pStyle w:val="Normal"/>
              <w:ind w:left="-108" w:hanging="0"/>
              <w:jc w:val="center"/>
              <w:rPr/>
            </w:pPr>
            <w:r>
              <w:rPr/>
              <w:t xml:space="preserve">2023 </w:t>
            </w:r>
            <w:r>
              <w:rPr>
                <w:rFonts w:cs="Arial Cyr Chuv" w:ascii="Arial Cyr Chuv" w:hAnsi="Arial Cyr Chuv"/>
              </w:rPr>
              <w:t xml:space="preserve">=? </w:t>
            </w:r>
            <w:r>
              <w:rPr>
                <w:rFonts w:eastAsia="Times New Roman" w:cs="Arial Cyr Chuv" w:ascii="Arial Cyr Chuv" w:hAnsi="Arial Cyr Chuv"/>
                <w:color w:val="auto"/>
                <w:kern w:val="0"/>
                <w:sz w:val="24"/>
                <w:szCs w:val="24"/>
                <w:lang w:val="ru-RU" w:eastAsia="ru-RU" w:bidi="ar-SA"/>
              </w:rPr>
              <w:t>декабр</w:t>
            </w:r>
            <w:r>
              <w:rPr>
                <w:rFonts w:cs="Arial Cyr Chuv" w:ascii="Arial Cyr Chuv" w:hAnsi="Arial Cyr Chuv"/>
              </w:rPr>
              <w:t xml:space="preserve">.н </w:t>
            </w:r>
            <w:r>
              <w:rPr>
                <w:rFonts w:cs="Arial Cyr Chuv" w:ascii="Arial Cyr Chuv" w:hAnsi="Arial Cyr Chuv"/>
              </w:rPr>
              <w:t>05</w:t>
            </w:r>
            <w:r>
              <w:rPr>
                <w:rFonts w:cs="Arial Cyr Chuv" w:ascii="Arial Cyr Chuv" w:hAnsi="Arial Cyr Chuv"/>
              </w:rPr>
              <w:t>-</w:t>
            </w:r>
            <w:r>
              <w:rPr/>
              <w:t>м</w:t>
            </w:r>
            <w:r>
              <w:rPr>
                <w:rFonts w:cs="Arial Cyr Chuv" w:ascii="Arial Cyr Chuv" w:hAnsi="Arial Cyr Chuv"/>
              </w:rPr>
              <w:t>.</w:t>
            </w:r>
            <w:r>
              <w:rPr/>
              <w:t>ш</w:t>
            </w:r>
            <w:r>
              <w:rPr>
                <w:rFonts w:cs="Arial Cyr Chuv" w:ascii="Arial Cyr Chuv" w:hAnsi="Arial Cyr Chuv"/>
              </w:rPr>
              <w:t xml:space="preserve">. </w:t>
            </w:r>
            <w:r>
              <w:rPr/>
              <w:t xml:space="preserve">№ </w:t>
            </w:r>
            <w:r>
              <w:rPr/>
              <w:t>1123</w:t>
            </w:r>
          </w:p>
          <w:p>
            <w:pPr>
              <w:pStyle w:val="Normal"/>
              <w:ind w:left="-36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</w:rPr>
              <w:t>Елч</w:t>
            </w:r>
            <w:r>
              <w:rPr>
                <w:rFonts w:cs="Arial Cyr Chuv" w:ascii="Arial Cyr Chuv" w:hAnsi="Arial Cyr Chuv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к ял</w:t>
            </w:r>
            <w:r>
              <w:rPr>
                <w:rFonts w:cs="Arial Cyr Chuv" w:ascii="Arial Cyr Chuv" w:hAnsi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bCs/>
                <w:iCs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676275" cy="87630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7" w:type="dxa"/>
            <w:tcBorders/>
            <w:shd w:color="auto" w:fill="auto" w:val="clear"/>
          </w:tcPr>
          <w:p>
            <w:pPr>
              <w:pStyle w:val="1"/>
              <w:numPr>
                <w:ilvl w:val="0"/>
                <w:numId w:val="1"/>
              </w:numPr>
              <w:suppressAutoHyphens w:val="true"/>
              <w:snapToGrid w:val="false"/>
              <w:ind w:right="72" w:hanging="0"/>
              <w:jc w:val="lef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</w:p>
          <w:p>
            <w:pPr>
              <w:pStyle w:val="Normal"/>
              <w:ind w:left="-360" w:right="72" w:hanging="0"/>
              <w:jc w:val="center"/>
              <w:rPr/>
            </w:pPr>
            <w:r>
              <w:rPr>
                <w:rFonts w:cs="Arial Cyr Chuv" w:ascii="Arial Cyr Chuv" w:hAnsi="Arial Cyr Chuv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Яльчикский 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>муниципальный округ</w:t>
            </w:r>
          </w:p>
          <w:p>
            <w:pPr>
              <w:pStyle w:val="Normal"/>
              <w:ind w:left="-357" w:right="74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left="-357" w:right="74" w:hanging="0"/>
              <w:jc w:val="center"/>
              <w:rPr/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Администрация 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 xml:space="preserve">Яльчикского </w:t>
            </w:r>
          </w:p>
          <w:p>
            <w:pPr>
              <w:pStyle w:val="Normal"/>
              <w:ind w:left="-357" w:right="74" w:hanging="0"/>
              <w:jc w:val="center"/>
              <w:rPr>
                <w:rFonts w:ascii="Arial Cyr Chuv" w:hAnsi="Arial Cyr Chuv" w:cs="Arial Cyr Chuv"/>
                <w:b/>
                <w:b/>
                <w:bCs/>
                <w:sz w:val="26"/>
                <w:szCs w:val="26"/>
              </w:rPr>
            </w:pPr>
            <w:r>
              <w:rPr>
                <w:rFonts w:cs="Arial Cyr Chuv" w:ascii="Arial Cyr Chuv" w:hAnsi="Arial Cyr Chuv"/>
                <w:b/>
                <w:bCs/>
                <w:sz w:val="26"/>
                <w:szCs w:val="26"/>
              </w:rPr>
              <w:t>муниципального округа</w:t>
            </w:r>
          </w:p>
          <w:p>
            <w:pPr>
              <w:pStyle w:val="1"/>
              <w:numPr>
                <w:ilvl w:val="0"/>
                <w:numId w:val="1"/>
              </w:numPr>
              <w:suppressAutoHyphens w:val="true"/>
              <w:ind w:left="-357" w:right="74" w:hanging="0"/>
              <w:rPr/>
            </w:pPr>
            <w:r>
              <w:rPr>
                <w:b/>
                <w:sz w:val="26"/>
              </w:rPr>
              <w:t>ПОСТАНОВЛЕНИЕ</w:t>
            </w:r>
          </w:p>
          <w:p>
            <w:pPr>
              <w:pStyle w:val="Normal"/>
              <w:ind w:left="-357" w:right="72" w:hanging="0"/>
              <w:jc w:val="center"/>
              <w:rPr/>
            </w:pPr>
            <w:r>
              <w:rPr/>
            </w:r>
          </w:p>
          <w:p>
            <w:pPr>
              <w:pStyle w:val="Normal"/>
              <w:ind w:left="-360" w:right="72" w:hanging="0"/>
              <w:jc w:val="center"/>
              <w:rPr/>
            </w:pPr>
            <w:r>
              <w:rPr/>
              <w:t xml:space="preserve">«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05</w:t>
            </w:r>
            <w:r>
              <w:rPr/>
              <w:t xml:space="preserve">» </w:t>
            </w:r>
            <w:r>
              <w:rPr/>
              <w:t>декабря</w:t>
            </w:r>
            <w:r>
              <w:rPr/>
              <w:t xml:space="preserve"> 2023 г. № </w:t>
            </w:r>
            <w:r>
              <w:rPr/>
              <w:t>1123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</w:rPr>
              <w:t>село Яльчики</w:t>
            </w:r>
          </w:p>
        </w:tc>
      </w:tr>
    </w:tbl>
    <w:p>
      <w:pPr>
        <w:pStyle w:val="Normal"/>
        <w:tabs>
          <w:tab w:val="clear" w:pos="720"/>
          <w:tab w:val="left" w:pos="5954" w:leader="none"/>
          <w:tab w:val="left" w:pos="6521" w:leader="none"/>
        </w:tabs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bookmarkStart w:id="0" w:name="P95"/>
      <w:bookmarkStart w:id="1" w:name="P95"/>
      <w:bookmarkEnd w:id="1"/>
    </w:p>
    <w:p>
      <w:pPr>
        <w:pStyle w:val="Normal"/>
        <w:ind w:right="3826" w:hanging="0"/>
        <w:jc w:val="both"/>
        <w:rPr/>
      </w:pPr>
      <w:r>
        <w:rPr>
          <w:rFonts w:eastAsia="Calibri" w:eastAsiaTheme="minorHAnsi"/>
          <w:sz w:val="28"/>
          <w:szCs w:val="28"/>
        </w:rPr>
        <w:t xml:space="preserve">Об утверждении Порядка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оценки налоговых расходов</w:t>
      </w:r>
      <w:r>
        <w:rPr>
          <w:rFonts w:eastAsia="Calibri" w:cs="Times New Roman" w:eastAsiaTheme="minorHAnsi"/>
          <w:sz w:val="28"/>
          <w:szCs w:val="28"/>
          <w:lang w:eastAsia="ru-RU"/>
        </w:rPr>
        <w:t xml:space="preserve"> </w:t>
      </w:r>
      <w:r>
        <w:rPr>
          <w:rFonts w:eastAsia="Calibri" w:eastAsiaTheme="minorHAnsi"/>
          <w:sz w:val="28"/>
          <w:szCs w:val="28"/>
        </w:rPr>
        <w:t>Яльчикского муниципального округа Чувашской Республики</w:t>
      </w:r>
    </w:p>
    <w:p>
      <w:pPr>
        <w:pStyle w:val="Normal"/>
        <w:ind w:right="3826" w:hanging="0"/>
        <w:jc w:val="both"/>
        <w:rPr>
          <w:rFonts w:eastAsia="Calibri" w:eastAsiaTheme="minorHAnsi"/>
          <w:sz w:val="28"/>
          <w:szCs w:val="28"/>
          <w:highlight w:val="yellow"/>
        </w:rPr>
      </w:pPr>
      <w:r>
        <w:rPr>
          <w:rFonts w:eastAsia="Calibri" w:eastAsiaTheme="minorHAnsi"/>
          <w:sz w:val="28"/>
          <w:szCs w:val="28"/>
          <w:highlight w:val="yellow"/>
        </w:rPr>
      </w:r>
    </w:p>
    <w:p>
      <w:pPr>
        <w:pStyle w:val="Normal"/>
        <w:ind w:firstLine="540"/>
        <w:jc w:val="both"/>
        <w:rPr>
          <w:rFonts w:eastAsia="Calibri" w:eastAsiaTheme="minorHAnsi"/>
          <w:sz w:val="28"/>
          <w:szCs w:val="28"/>
          <w:highlight w:val="yellow"/>
        </w:rPr>
      </w:pPr>
      <w:r>
        <w:rPr>
          <w:rFonts w:eastAsia="Calibri" w:eastAsiaTheme="minorHAnsi"/>
          <w:sz w:val="28"/>
          <w:szCs w:val="28"/>
          <w:highlight w:val="yellow"/>
        </w:rPr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eastAsiaTheme="minorHAnsi"/>
          <w:sz w:val="28"/>
          <w:szCs w:val="28"/>
        </w:rPr>
        <w:t>В соответствии с пунктом</w:t>
      </w:r>
      <w:r>
        <w:rPr>
          <w:rFonts w:eastAsia="Calibri" w:eastAsiaTheme="minorHAnsi"/>
          <w:sz w:val="28"/>
          <w:szCs w:val="28"/>
          <w:lang w:val="en-US"/>
        </w:rPr>
        <w:t xml:space="preserve"> 2 </w:t>
      </w:r>
      <w:r>
        <w:rPr>
          <w:rFonts w:eastAsia="Calibri" w:eastAsiaTheme="minorHAnsi"/>
          <w:sz w:val="28"/>
          <w:szCs w:val="28"/>
        </w:rPr>
        <w:t xml:space="preserve">статьи 174.3 Бюджетного кодекса Российской Федерации, постановлением Правительства Российской Федерации от 22 июня 2019 г. </w:t>
      </w:r>
      <w:r>
        <w:rPr>
          <w:rFonts w:eastAsia="Calibri" w:eastAsiaTheme="minorHAnsi"/>
          <w:sz w:val="28"/>
          <w:szCs w:val="28"/>
        </w:rPr>
        <w:t>№</w:t>
      </w:r>
      <w:r>
        <w:rPr>
          <w:rFonts w:eastAsia="Calibri" w:eastAsiaTheme="minorHAnsi"/>
          <w:sz w:val="28"/>
          <w:szCs w:val="28"/>
        </w:rPr>
        <w:t xml:space="preserve"> 796 «Об общих требованиях к оценке налоговых расходов субъектов Российской Федерации и муниципальных образований» администрация Яльчикского муниципального округа Чувашской Республики постановляет: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eastAsiaTheme="minorHAnsi"/>
          <w:sz w:val="28"/>
          <w:szCs w:val="28"/>
        </w:rPr>
        <w:t xml:space="preserve">1. Утвердить прилагаемый Порядок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оценки</w:t>
      </w:r>
      <w:r>
        <w:rPr>
          <w:rFonts w:eastAsia="Calibri" w:eastAsiaTheme="minorHAnsi"/>
          <w:sz w:val="28"/>
          <w:szCs w:val="28"/>
        </w:rPr>
        <w:t xml:space="preserve"> налоговых расходов Яльчикского муниципального округа Чувашской Республики.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eastAsiaTheme="minorHAnsi"/>
          <w:sz w:val="28"/>
          <w:szCs w:val="28"/>
        </w:rPr>
        <w:t>2. Контроль за исполнением настоящего постановления возложить на финансовый отдел администрации Яльчикского муниципального округа Чувашской Республики.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eastAsia="Calibri" w:eastAsiaTheme="minorHAnsi"/>
          <w:sz w:val="28"/>
          <w:szCs w:val="28"/>
        </w:rPr>
        <w:t xml:space="preserve">. Настоящее постановление вступает в силу </w:t>
      </w:r>
      <w:r>
        <w:rPr>
          <w:rFonts w:eastAsia="Calibri" w:cs="Times New Roman" w:eastAsiaTheme="minorHAnsi"/>
          <w:color w:val="auto"/>
          <w:kern w:val="0"/>
          <w:sz w:val="28"/>
          <w:szCs w:val="28"/>
          <w:lang w:val="ru-RU" w:eastAsia="ru-RU" w:bidi="ar-SA"/>
        </w:rPr>
        <w:t>после</w:t>
      </w:r>
      <w:r>
        <w:rPr>
          <w:rFonts w:eastAsia="Calibri" w:eastAsiaTheme="minorHAnsi"/>
          <w:sz w:val="28"/>
          <w:szCs w:val="28"/>
        </w:rPr>
        <w:t xml:space="preserve"> его официального опубликования.</w:t>
      </w:r>
    </w:p>
    <w:p>
      <w:pPr>
        <w:pStyle w:val="Normal"/>
        <w:suppressAutoHyphens w:val="true"/>
        <w:ind w:firstLine="567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suppressAutoHyphens w:val="true"/>
        <w:ind w:firstLine="567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</w:r>
    </w:p>
    <w:p>
      <w:pPr>
        <w:pStyle w:val="Normal"/>
        <w:spacing w:before="0" w:after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Глава Яльчикского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>
      <w:pPr>
        <w:pStyle w:val="Normal"/>
        <w:rPr>
          <w:highlight w:val="yellow"/>
        </w:rPr>
      </w:pPr>
      <w:r>
        <w:rPr>
          <w:sz w:val="28"/>
          <w:szCs w:val="28"/>
        </w:rPr>
        <w:t xml:space="preserve">Чувашской Республики                                                               Л.В. Левый   </w:t>
      </w:r>
    </w:p>
    <w:p>
      <w:pPr>
        <w:pStyle w:val="Normal"/>
        <w:widowControl w:val="false"/>
        <w:ind w:left="5387" w:hanging="0"/>
        <w:rPr>
          <w:caps/>
          <w:color w:val="000000"/>
          <w:sz w:val="28"/>
          <w:szCs w:val="28"/>
          <w:highlight w:val="yellow"/>
        </w:rPr>
      </w:pPr>
      <w:r>
        <w:rPr>
          <w:caps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>
          <w:rFonts w:cs="Arial"/>
          <w:color w:val="000000"/>
          <w:sz w:val="28"/>
          <w:szCs w:val="28"/>
          <w:highlight w:val="yellow"/>
        </w:rPr>
      </w:pPr>
      <w:r>
        <w:rPr>
          <w:rFonts w:cs="Arial"/>
          <w:color w:val="000000"/>
          <w:sz w:val="28"/>
          <w:szCs w:val="28"/>
          <w:highlight w:val="yellow"/>
        </w:rPr>
      </w:r>
    </w:p>
    <w:p>
      <w:pPr>
        <w:pStyle w:val="Normal"/>
        <w:widowControl w:val="false"/>
        <w:ind w:left="4536" w:hanging="0"/>
        <w:jc w:val="right"/>
        <w:rPr/>
      </w:pPr>
      <w:r>
        <w:rPr>
          <w:rFonts w:cs="Arial"/>
          <w:color w:val="000000"/>
          <w:sz w:val="24"/>
          <w:szCs w:val="24"/>
        </w:rPr>
        <w:t>Утвержден</w:t>
      </w:r>
    </w:p>
    <w:p>
      <w:pPr>
        <w:pStyle w:val="Normal"/>
        <w:widowControl w:val="false"/>
        <w:ind w:left="4536" w:hanging="0"/>
        <w:jc w:val="right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постановлением администрации</w:t>
      </w:r>
      <w:r>
        <w:rPr>
          <w:rFonts w:cs="Arial"/>
          <w:sz w:val="24"/>
          <w:szCs w:val="24"/>
        </w:rPr>
        <w:t xml:space="preserve"> Яльчикского муниципального округа </w:t>
      </w:r>
    </w:p>
    <w:p>
      <w:pPr>
        <w:pStyle w:val="Normal"/>
        <w:widowControl w:val="false"/>
        <w:ind w:left="4536" w:hanging="0"/>
        <w:jc w:val="right"/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Чувашской Республики</w:t>
      </w:r>
    </w:p>
    <w:p>
      <w:pPr>
        <w:pStyle w:val="Normal"/>
        <w:widowControl w:val="false"/>
        <w:ind w:left="4536" w:hanging="0"/>
        <w:jc w:val="right"/>
        <w:rPr/>
      </w:pPr>
      <w:r>
        <w:rPr>
          <w:color w:val="000000"/>
          <w:sz w:val="24"/>
          <w:szCs w:val="24"/>
        </w:rPr>
        <w:t xml:space="preserve">от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05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12</w:t>
      </w:r>
      <w:r>
        <w:rPr>
          <w:color w:val="000000"/>
          <w:sz w:val="24"/>
          <w:szCs w:val="24"/>
        </w:rPr>
        <w:t xml:space="preserve">.2023 № </w:t>
      </w:r>
      <w:r>
        <w:rPr>
          <w:color w:val="000000"/>
          <w:sz w:val="24"/>
          <w:szCs w:val="24"/>
        </w:rPr>
        <w:t>1123</w:t>
      </w:r>
    </w:p>
    <w:p>
      <w:pPr>
        <w:pStyle w:val="Normal"/>
        <w:widowControl w:val="false"/>
        <w:ind w:left="5387" w:hanging="0"/>
        <w:rPr>
          <w:b/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ПОРЯДОК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kern w:val="0"/>
          <w:sz w:val="24"/>
          <w:szCs w:val="24"/>
          <w:lang w:val="ru-RU" w:eastAsia="ru-RU" w:bidi="ar-SA"/>
        </w:rPr>
        <w:t>ОЦЕНКИ НАЛОГОВЫХ РАСХОДОВ</w:t>
      </w:r>
      <w:r>
        <w:rPr>
          <w:b/>
          <w:sz w:val="24"/>
          <w:szCs w:val="24"/>
        </w:rPr>
        <w:t xml:space="preserve"> ЯЛЬЧИКСКОГО МУНИЦИПАЛЬНОГО ОКРУГА ЧУВАШСКОЙ РЕСПУБЛИКИ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108" w:after="108"/>
        <w:ind w:left="0" w:right="0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I. Общие положения</w:t>
      </w:r>
      <w:bookmarkStart w:id="2" w:name="sub_1001"/>
      <w:bookmarkEnd w:id="2"/>
    </w:p>
    <w:p>
      <w:pPr>
        <w:pStyle w:val="Normal"/>
        <w:ind w:left="0" w:right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1. Настоящий Порядок определяет процедуру оценки налоговых расходов Яльчикского муниципального округа Чувашской Республики (далее —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налоговые расходы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), правила формирования информации о нормативных, целевых и фискальных характеристиках налоговых расходов, а также порядок обобщения результатов оценки эффективности налоговых расходов, осуществляемой кураторами налоговых расходов.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2. Для целей настоящего Порядка используются следующие понятия и термины: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куратор налоговых расходов Яльчикского муниципального округа Чувашской Республики — орган местно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го самоуправления структурное подразделение администрации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ответственное в соответствии с полномочиями, установленными муниципальными правовыми актами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(далее — муниципальные правовые акты)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за достижение соответствующих налоговому расходу целей муниципальной программы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(далее — муниципальная программа)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и (или) целей социально-экономического развития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 (далее — социально-экономическое развитие)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, не относящихся к муниципальным программам;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налоговые расходы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выпадающие доходы бюджета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 (далее — местный бюджет)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социально-экономического развития, не относящимися к муниципальным программам;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нормативные характеристики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- сведения о положениях муниципальных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оценка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- комплекс мероприятий по оценке объемов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обусловленных льготами, предоставленными плательщикам, а также по оценке эффективности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оценка объемов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определение объемов выпадающих доходов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обусловленных льготами, предоставленными плательщикам;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оценка эффективности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перечень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документ, содержащий сведения о распределении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в соответствии с целями муниципальных программ и (или) целями социально-экономического развития, не относящимися к муниципальным программам, а также о кураторах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плательщики - плательщики налогов;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социальные налоговые расходы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целевая категория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обусловленных необходимостью обеспечения социальной защиты (поддержки) населения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стимулирующие налоговые расходы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целевая категория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предполагающих стимулирование экономической активности субъектов предпринимательской деятельности и последующее увеличение (предотвращение снижения) доходов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технические налоговые расходы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целевая категория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фискальные характеристики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целевые характеристики налогового расхода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3. Оценка налоговых расходов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(далее — налоговые расходы)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осуществляется кураторами налоговых расходов в соответствии с перечнем налоговых расходов на основе информации Управления Федеральной налоговой службы по Чувашской Республике (далее - УФНС России по Чувашской Республике) о фискальных характеристиках налоговых расходов за отчетный финансовый год, а также информации о стимулирующих налоговых расходах  за 6 лет, предшествующих отчетному финансовому году.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rFonts w:ascii="Times New Roman" w:hAnsi="Times New Roman"/>
          <w:sz w:val="24"/>
          <w:szCs w:val="24"/>
          <w:highlight w:val="yellow"/>
        </w:rPr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II. Формирование информации о нормативных, целевых</w:t>
      </w:r>
    </w:p>
    <w:p>
      <w:pPr>
        <w:pStyle w:val="Normal"/>
        <w:spacing w:before="0" w:after="0"/>
        <w:ind w:left="0" w:hanging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и фискальных характеристиках налоговых расходов</w:t>
      </w:r>
    </w:p>
    <w:p>
      <w:pPr>
        <w:pStyle w:val="Normal"/>
        <w:spacing w:before="0" w:after="0"/>
        <w:ind w:left="0" w:hanging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Яльчикского муниципального округа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4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Кураторы налоговых расходов формируют информацию о нормативных, целевых и фискальных характеристиках налоговых расходов согласно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приложению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к настоящему Порядку.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III. Оценка эффективности налоговых расходов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5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В целях проведения оценки эффективности налоговых расходов: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а) финансовый отдел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администрации Яльчикского муниципального округа Чувашской Республики (далее — финансовый отдел)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формирует и направляет ежегодно до 1 февраля в УФНС России по Чувашской Республике сведения о категориях плательщиков с указанием обусловливающих соответствующие налоговые расходы муниципальных правовых актов, в том числе действовавших в отчетном году и в году, предшествующем отчетному году, и иную информацию, предусмотренную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приложением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к настоящему Порядку;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б)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ф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инансовый отдел ежегодно до 1 апреля получает от УФНС России по Чувашской Республике сведения за отчетный год и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сведения о количестве плательщиков, воспользовавшихся льготами;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сведения о суммах выпадающих доходов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по каждому налоговому расходу;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сведения об объемах налогов, задекларированных для уплаты плательщиками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по каждому налоговому расходу, в отношении стимулирующих налоговых расходов.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в) финансовый отдел ежегодно до 10 апреля доводит до кураторов налоговых расходов сведения, полученные от УФНС России по Чувашской Республике.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6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Оценка налоговых расходов проводится куратором налоговых расходов. Результаты оценки (с отражением показателей, указанных в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приложении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к настоящему Порядку) с приложением аналитической записки по проведенным расчетам и пояснением (обоснованием) выводов, сделанных на основании данных расчетов ежегодно до 10 мая направляются в финансовый отдел.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7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Финансовый отдел ежегодно до 1 июня представляет в Министерство финансов Чувашской Республики данные для оценки эффективности налоговых расходов по перечню показателей для проведения оценки налоговых расходов предусмотренному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приложением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к общим требованиям к оценке налоговых расходов субъектов Российской Федерации и муниципальных образований, утвержденным постановлением Правительства Российской Федерации от 22 июня 2019 г.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№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796 «Об общих требованиях к оценке налоговых расходов субъектов Российской Федерации и муниципальных образований» (далее - Общие требования).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8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Финансовый отдел при необходимости ежегодно до 20 августа представляет в Министерство финансов Чувашской Республики уточненную информацию, предусмотренную приложением к Общим требованиям.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9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Финансовый отдел ежегодно до 1 октября размещает информацию о результатах ежегодной оценки эффективности налоговых расходов на официальном сайте администрации Яльчикского муниципального округа Чувашской Республики в информационно-телекоммуникационной сети "Интернет".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0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Оценка эффективности налоговых расходов осуществляется кураторами налоговых расходов и включает в себя: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а) оценку целесообразности налоговых расходов;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б) оценку результативности налоговых расходов.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Критериями целесообразности налоговых расходов являются: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соответствие налоговых расходов  целям муниципальных программ  и (или) целям социально-экономического развития, не относящимся к муниципальным программам;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абзаце третьем настоящего пункта, при котором льгота признается востребованной.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В случае несоответствия налоговых расходов хотя бы одному из критериев, указанных в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пункте 1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настоящего Порядка, куратор налоговых расходов  представляет в финансовый отдел предложения о сохранении (уточнении, отмене) льгот для плательщиков.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3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В качестве критерия результативности налоговых расходов кураторами налоговых расходов  используется как минимум один показатель (индикатор) достижения целей муниципальных программ и (или) целей социально-экономического развития,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муниципальных программ и (или) целей социально-экономического развития,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4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Оценка результативности налоговых расходов включает в себя оценку бюджетной эффективности налоговых расходов.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5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В целях проведения оценки бюджетной эффективности налоговых расходов  кураторами налоговых расходов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социально-экономического развития, не относящихся к муниципальным программам  (далее - сравнительный анализ), а также оценка совокупного бюджетного эффекта (самоокупаемости) стимулирующих налоговых расходов.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6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При необходимости куратором налогового расхода могут быть установлены дополнительные критерии оценки бюджетной эффективности налогового расхода.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7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Сравнительный анализ включает в себя сравнение объемов расходов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в случае применения альтернативных механизмов достижения целей муниципальной программы и (или) целей социально-экономического развития, не относящихся к муниципальным программам, и объемов предоставленных льгот посредством определения кураторами налоговых расходов прироста значения показателя (индикатора) достижения целей муниципальной программы и (или) целей социально-экономического развития, не относящихся к муниципальным программам, на 1 рубль налоговых расходов и на 1 рубль расходов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для достижения того же значения показателя (индикатора) в случае применения альтернативных механизмов.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В качестве альтернативных механизмов достижения целей муниципальной программы и (или) целей социально-экономического развития, не относящихся к муниципальным программам, учитываются: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субсидии или иные формы непосредственной финансовой поддержки плательщиков, имеющих право на льготы, предоставляемые за счет средств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предоставление муниципальных гарантий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по обязательствам плательщиков, имеющих право на льготы;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8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Оценку результативности налоговых расходов допускается не проводить в отношении технических налоговых расходов.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19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В целях оценки бюджетной эффективности стимулирующих налоговых расходов  одновременно со сравнительным анализом куратором налоговых расходов  рассчитывается оценка совокупного бюджетного эффекта (самоокупаемости) указанных налоговых расходов в соответствии с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пунктом 2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0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 xml:space="preserve">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настоящего Порядка. Значение оценки совокупного бюджетного эффекта (самоокупаемости) стимулирующих налоговых расходов является одним из критериев результативности налоговых расходов.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Оценка совокупного бюджетного эффекта (самоокупаемости) стимулирующих налоговых расходов определяется куратором налоговых расходов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определяется в целом по указанной категории плательщиков.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  <w:lang w:val="en-US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lang w:val="en-US"/>
        </w:rPr>
        <w:t>0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по следующей формуле: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/>
        <w:drawing>
          <wp:inline distT="0" distB="0" distL="0" distR="0">
            <wp:extent cx="1800225" cy="504825"/>
            <wp:effectExtent l="0" t="0" r="0" b="0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где: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Е - оценка совокупного бюджетного эффекта (самоокупаемости) стимулирующих налоговых расходов;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/>
        <w:drawing>
          <wp:inline distT="0" distB="0" distL="0" distR="0">
            <wp:extent cx="161925" cy="190500"/>
            <wp:effectExtent l="0" t="0" r="0" b="0"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- знак суммирования;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i - порядковый номер i-го года, имеющий значение от 1 до 5;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m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i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количество плательщиков, воспользовавшихся льготой в i-м году;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j - порядковый номер плательщика, имеющий значение от 1 до m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i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N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ij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объем налогов, задекларированных для уплаты в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en-US" w:eastAsia="ru-RU" w:bidi="ar-SA"/>
        </w:rPr>
        <w:t>м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естный бюдже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lang w:val="ru-RU"/>
        </w:rPr>
        <w:t xml:space="preserve">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j-м плательщиком в i-м году.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, оцениваются (прогнозируются) по данным куратора налоговых расходов;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B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oj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базовый объем налогов, задекларированных для уплаты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j-м плательщиком в базовом году;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g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i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номинальный темп прироста налоговых доходов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в i-м году по отношению к показателям базового года;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r - расчетная стоимость среднесрочных рыночных заимствований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1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Базовый объем налогов, задекларированных для уплаты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j-м плательщиком в базовом году, рассчитывается по следующей формуле: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B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0j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= N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0j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+ L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0j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,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где: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B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0j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базовый объем налогов, задекларированных для уплаты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j-м плательщиком в базовом году;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N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0j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объем налогов, задекларированных для уплаты 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местный бюджет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j-м плательщиком в базовом году;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L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0j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объем льгот, предоставленных j-му плательщику в базовом году.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Под базовым годом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Расчетная стоимость среднесрочных рыночных заимствований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рассчитывается по следующей формуле: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r = i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инф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+ p + c,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где: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r - расчетная стоимость среднесрочных рыночных заимствований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i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  <w:vertAlign w:val="subscript"/>
        </w:rPr>
        <w:t>инф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- целевой уровень инфляции (4,0 процента);</w:t>
      </w:r>
    </w:p>
    <w:p>
      <w:pPr>
        <w:pStyle w:val="Normal"/>
        <w:spacing w:before="0" w:after="0"/>
        <w:ind w:left="0"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p - реальная процентная ставка, определяемая на уровне 2,5 процента;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c - кредитная премия за риск, рассчитываемая для целей Порядка в зависимости от отношения объема муниципального долга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по состоянию на 1 января текущего финансового года к объему налоговых и неналоговых доходов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за отчетный период (в случае если указанное отношение составляет менее 50,0 процента, кредитная премия за риск принимается равной 1,0 процента; в случае если указанное отношение составляет от 50,0 до 100,0 процента, кредитная премия за риск принимается равной 2,0 процента; в случае если указанное отношение составляет более 100,0 процента, кредитная премия за риск принимается равной 3,0 процента).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3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По итогам оценки эффективности налоговых расходов куратор налоговых расходов формирует выводы о достижении целевых характеристик налогового расхода, вкладе налогового расхода в достижение целей муниципальной программы  и (или) целей социально-экономического развития, не относящихся к муниципальным программам, а также о наличии или об отсутствии более результативных (менее затратных для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) альтернативных механизмов достижения целей муниципальной программы и (или) целей социально-экономического развития, не относящихся к муниципальным программам.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Выводы по результатам оценки эффективности налогового расхода представляются в финансовый отдел в сроки, установленные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 xml:space="preserve">пунктом 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>6</w:t>
      </w:r>
      <w:r>
        <w:rPr>
          <w:b w:val="false"/>
          <w:i w:val="false"/>
          <w:strike w:val="false"/>
          <w:dstrike w:val="false"/>
          <w:color w:val="auto"/>
          <w:sz w:val="24"/>
          <w:szCs w:val="24"/>
          <w:u w:val="none"/>
        </w:rPr>
        <w:t xml:space="preserve"> н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астоящего Порядка.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rFonts w:ascii="Times New Roman" w:hAnsi="Times New Roman"/>
          <w:sz w:val="24"/>
          <w:szCs w:val="24"/>
          <w:highlight w:val="yellow"/>
        </w:rPr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IV. Обобщение результатов оценки эффективности</w:t>
      </w:r>
    </w:p>
    <w:p>
      <w:pPr>
        <w:pStyle w:val="Normal"/>
        <w:spacing w:before="0" w:after="0"/>
        <w:ind w:left="0" w:hanging="0"/>
        <w:jc w:val="center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налоговых расходов</w:t>
      </w:r>
    </w:p>
    <w:p>
      <w:pPr>
        <w:pStyle w:val="Normal"/>
        <w:spacing w:before="0" w:after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4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. Финансовый отдел обобщает результаты оценки эффективности налоговых расходов на основе данных, представленных кураторами налоговых расходов, и направляет их в администрацию Яльчикского муниципального округа Чувашской Республики до 15 августа.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2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5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Результаты оценки эффективности налоговых расходов учитываются при формировании основных направлений бюджетной и налоговой политики Яльчикского муниципального округа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Чувашской Республики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на предстоящий период в сроки, установленные для разработки проекта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местного бюджета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 xml:space="preserve"> на очередной финансовый год и на плановый период, а также при проведении оценки эффективности реализации муниципальных программ.</w:t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highlight w:val="yellow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highlight w:val="yellow"/>
          <w:u w:val="none"/>
        </w:rPr>
      </w:r>
    </w:p>
    <w:p>
      <w:pPr>
        <w:pStyle w:val="Normal"/>
        <w:numPr>
          <w:ilvl w:val="0"/>
          <w:numId w:val="0"/>
        </w:numPr>
        <w:ind w:left="0" w:hanging="0"/>
        <w:jc w:val="right"/>
        <w:outlineLvl w:val="0"/>
        <w:rPr>
          <w:rFonts w:ascii="Times New Roman" w:hAnsi="Times New Roman"/>
          <w:sz w:val="24"/>
          <w:szCs w:val="24"/>
          <w:highlight w:val="yellow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Приложение</w:t>
      </w:r>
    </w:p>
    <w:p>
      <w:pPr>
        <w:pStyle w:val="Normal"/>
        <w:ind w:left="0" w:hanging="0"/>
        <w:jc w:val="right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к Порядку оценки налоговых расходов</w:t>
      </w:r>
    </w:p>
    <w:p>
      <w:pPr>
        <w:pStyle w:val="Normal"/>
        <w:ind w:left="0" w:hanging="0"/>
        <w:jc w:val="right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Яльчикского муниципального округа</w:t>
      </w:r>
    </w:p>
    <w:p>
      <w:pPr>
        <w:pStyle w:val="Normal"/>
        <w:ind w:left="0" w:hanging="0"/>
        <w:jc w:val="right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</w:p>
    <w:p>
      <w:pPr>
        <w:pStyle w:val="Normal"/>
        <w:ind w:left="0" w:hanging="0"/>
        <w:jc w:val="righ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/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ind w:left="0" w:hanging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ПЕРЕЧЕНЬ</w:t>
      </w:r>
    </w:p>
    <w:p>
      <w:pPr>
        <w:pStyle w:val="Normal"/>
        <w:ind w:left="0" w:hanging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ПОКАЗАТЕЛЕЙ ДЛЯ ПРОВЕДЕНИЯ ОЦЕНКИ ЭФФЕКТИВНОСТИ</w:t>
      </w:r>
    </w:p>
    <w:p>
      <w:pPr>
        <w:pStyle w:val="Normal"/>
        <w:ind w:left="0" w:hanging="0"/>
        <w:jc w:val="center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НАЛОГОВЫХ РАСХОДОВ Я</w:t>
      </w:r>
      <w:r>
        <w:rPr>
          <w:rFonts w:eastAsia="Times New Roman" w:cs="Times New Roman"/>
          <w:b/>
          <w:i w:val="false"/>
          <w:strike w:val="false"/>
          <w:dstrike w:val="false"/>
          <w:color w:val="auto"/>
          <w:kern w:val="0"/>
          <w:sz w:val="24"/>
          <w:szCs w:val="24"/>
          <w:u w:val="none"/>
          <w:lang w:val="ru-RU" w:eastAsia="ru-RU" w:bidi="ar-SA"/>
        </w:rPr>
        <w:t>ЛЬЧИКСК</w:t>
      </w:r>
      <w:r>
        <w:rPr>
          <w:b/>
          <w:i w:val="false"/>
          <w:strike w:val="false"/>
          <w:dstrike w:val="false"/>
          <w:sz w:val="24"/>
          <w:szCs w:val="24"/>
          <w:u w:val="none"/>
        </w:rPr>
        <w:t>ОГО МУНИЦИПАЛЬНОГО ОКРУГА</w:t>
      </w:r>
    </w:p>
    <w:p>
      <w:pPr>
        <w:pStyle w:val="Normal"/>
        <w:ind w:left="0" w:hanging="0"/>
        <w:jc w:val="center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ЧУВАШСКОЙ РЕСПУБЛИКИ</w:t>
      </w:r>
    </w:p>
    <w:p>
      <w:pPr>
        <w:pStyle w:val="Normal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tbl>
      <w:tblPr>
        <w:tblW w:w="9041" w:type="dxa"/>
        <w:jc w:val="left"/>
        <w:tblInd w:w="0" w:type="dxa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5270"/>
        <w:gridCol w:w="3347"/>
      </w:tblGrid>
      <w:tr>
        <w:trPr/>
        <w:tc>
          <w:tcPr>
            <w:tcW w:w="56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Предоставляемая информация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Источник данных</w:t>
            </w:r>
          </w:p>
        </w:tc>
      </w:tr>
      <w:tr>
        <w:trPr/>
        <w:tc>
          <w:tcPr>
            <w:tcW w:w="9041" w:type="dxa"/>
            <w:gridSpan w:val="3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</w:tabs>
              <w:ind w:left="0" w:hanging="0"/>
              <w:jc w:val="center"/>
              <w:outlineLvl w:val="1"/>
              <w:rPr/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I. Нормативные характеристики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Муниципальный правовой акт Яльчикского муниципального округа Чувашской Республики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Условия предоставления плательщикам налогов налоговых льгот, освобождений и иных преференций по налогам, установленных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Категория получателей налоговых льгот, освобождений и иных налоговых преференций по налогам, установленных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Даты вступления в силу положений муниципальных правовых актов Яльчикского муниципального округа Чувашской Республики, устанавливающих налоговые льготы, освобождения и иные преференции по налогам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Финансовый отдел администрации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5.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Даты начала действия предоставленного муниципальным правовым актом Яльчикского 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6.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Период действия налоговых льгот, освобождений и иных преференций по налогам, предоставленных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Финансовый отдел администрации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7.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Дата прекращения действия налоговых льгот, освобождений и иных преференций по налогам, установленных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9041" w:type="dxa"/>
            <w:gridSpan w:val="3"/>
            <w:tcBorders/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</w:tabs>
              <w:ind w:left="0" w:hanging="0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II. Целевые характеристики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8.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Наименование налоговых льгот, освобождений и иных преференций по налогам, установленных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9.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Целевая категория налогового расхода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Куратор налогового расхода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10.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Цели предоставления налоговых льгот, освобождений и иных преференций для плательщиков налогов, установленных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Куратор налогового расхода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11.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Наименования налогов, по которым предусматриваются налоговые льготы, освобождения и иные преференции, установленные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12.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Финансовый отдел администрации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13.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Финансовый отдел администрации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14.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Показатель (индикатор) достижения целей муниципальных программ Яльчикского муниципального округа Чувашской Республики и (или) целей социально-экономического развития Яльчикского муниципального округа Чувашской Республики, не относящихся к муниципальным программам Яльчикского 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Перечень налоговых расходов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15.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Код вида экономической деятельности (по </w:t>
            </w:r>
            <w:r>
              <w:rPr>
                <w:b w:val="false"/>
                <w:i w:val="false"/>
                <w:strike w:val="false"/>
                <w:dstrike w:val="false"/>
                <w:color w:val="auto"/>
                <w:sz w:val="24"/>
                <w:szCs w:val="24"/>
                <w:u w:val="none"/>
              </w:rPr>
              <w:t>ОКВЭД</w:t>
            </w: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Куратор налогового расхода Яльчикского муниципального округа Чувашской Республики</w:t>
            </w:r>
          </w:p>
        </w:tc>
      </w:tr>
      <w:tr>
        <w:trPr/>
        <w:tc>
          <w:tcPr>
            <w:tcW w:w="9041" w:type="dxa"/>
            <w:gridSpan w:val="3"/>
            <w:tcBorders/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</w:tabs>
              <w:ind w:left="0" w:hanging="0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III. Фискальные характеристики налогового расхода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16.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Объем налоговых льгот, освобождений и иных преференций, предоставленных для плательщиков налогов, в соответствии с муниципальным правовым актом Яльчикского муниципального округа Чувашской Республики за отчетный год и за год, предшествующий отчетному году (тыс. рублей)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УФНС России по Чувашской Республике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17.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Куратор налогового расхода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18.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 муниципальным правовым актом Яльчикского муниципального округа Чувашской Республики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УФНС России по Чувашской Республике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19.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Общая численность плательщиков налогов (единиц)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УФНС России по Чувашской Республике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20.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Базовый объем налогов, задекларированный для уплаты в бюджет Яльчикского муниципального округа Чувашской Республики плательщиками налогов, имеющими право на налоговые льготы, освобождения и иные преференции, установленные муниципальным правовым актом Яльчикского муниципального округа Чувашской Республики (тыс. рублей)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УФНС России по Чувашской Республике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21.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Объем налогов, задекларированный для уплаты в бюджет Яльчикского муниципального округа Яльчикского муниципального округа Чувашской Республики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УФНС России по Чувашской Республике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22.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Результат оценки эффективности налогового расхода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Куратор налогового расхода Яльчикского муниципального округа Чувашской Республики</w:t>
            </w:r>
          </w:p>
        </w:tc>
      </w:tr>
      <w:tr>
        <w:trPr/>
        <w:tc>
          <w:tcPr>
            <w:tcW w:w="424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23.</w:t>
            </w:r>
          </w:p>
        </w:tc>
        <w:tc>
          <w:tcPr>
            <w:tcW w:w="5270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347" w:type="dxa"/>
            <w:tcBorders/>
            <w:shd w:fill="auto" w:val="clear"/>
          </w:tcPr>
          <w:p>
            <w:pPr>
              <w:pStyle w:val="Normal"/>
              <w:tabs>
                <w:tab w:val="clear" w:pos="720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Куратор налогового расхода Яльчикского муниципального округа Чувашской Республики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701" w:right="850" w:header="708" w:top="765" w:footer="708" w:bottom="7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 Cyr Chuv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spacing w:lineRule="auto" w:line="240" w:before="0" w:after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933c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7200b8"/>
    <w:pPr>
      <w:keepNext w:val="true"/>
      <w:jc w:val="center"/>
      <w:outlineLvl w:val="0"/>
    </w:pPr>
    <w:rPr>
      <w:rFonts w:ascii="Arial Cyr Chuv" w:hAnsi="Arial Cyr Chuv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Цветовое выделение"/>
    <w:qFormat/>
    <w:rsid w:val="001933c9"/>
    <w:rPr>
      <w:b/>
      <w:bCs/>
      <w:color w:val="000080"/>
    </w:rPr>
  </w:style>
  <w:style w:type="character" w:styleId="Style14" w:customStyle="1">
    <w:name w:val="Основной текст с отступом Знак"/>
    <w:basedOn w:val="DefaultParagraphFont"/>
    <w:qFormat/>
    <w:rsid w:val="001933c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1933c9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930d25"/>
    <w:rPr>
      <w:rFonts w:ascii="Calibri" w:hAnsi="Calibri" w:eastAsia="Calibri" w:cs="Times New Roman"/>
    </w:rPr>
  </w:style>
  <w:style w:type="character" w:styleId="Style17" w:customStyle="1">
    <w:name w:val="Нижний колонтитул Знак"/>
    <w:basedOn w:val="DefaultParagraphFont"/>
    <w:uiPriority w:val="99"/>
    <w:qFormat/>
    <w:rsid w:val="00930d25"/>
    <w:rPr>
      <w:rFonts w:ascii="Calibri" w:hAnsi="Calibri" w:eastAsia="Calibri" w:cs="Times New Roman"/>
    </w:rPr>
  </w:style>
  <w:style w:type="character" w:styleId="Pagenumber">
    <w:name w:val="page number"/>
    <w:uiPriority w:val="99"/>
    <w:qFormat/>
    <w:rsid w:val="00930d25"/>
    <w:rPr>
      <w:rFonts w:cs="Times New Roman"/>
    </w:rPr>
  </w:style>
  <w:style w:type="character" w:styleId="11" w:customStyle="1">
    <w:name w:val="Заголовок 1 Знак"/>
    <w:basedOn w:val="DefaultParagraphFont"/>
    <w:link w:val="Heading1"/>
    <w:qFormat/>
    <w:rsid w:val="007200b8"/>
    <w:rPr>
      <w:rFonts w:ascii="Arial Cyr Chuv" w:hAnsi="Arial Cyr Chuv" w:eastAsia="Times New Roman" w:cs="Times New Roman"/>
      <w:sz w:val="28"/>
      <w:szCs w:val="24"/>
      <w:lang w:eastAsia="ru-RU"/>
    </w:rPr>
  </w:style>
  <w:style w:type="character" w:styleId="Style18" w:customStyle="1">
    <w:name w:val="Интернет-ссылка"/>
    <w:rsid w:val="00e63b98"/>
    <w:rPr>
      <w:color w:val="000080"/>
      <w:u w:val="single"/>
    </w:rPr>
  </w:style>
  <w:style w:type="character" w:styleId="Style19">
    <w:name w:val="Посещённая гиперссылка"/>
    <w:rPr>
      <w:color w:val="800000"/>
      <w:u w:val="single"/>
      <w:lang w:val="zxx" w:eastAsia="zxx" w:bidi="zxx"/>
    </w:rPr>
  </w:style>
  <w:style w:type="paragraph" w:styleId="Style20" w:customStyle="1">
    <w:name w:val="Заголовок"/>
    <w:basedOn w:val="Normal"/>
    <w:next w:val="Style21"/>
    <w:qFormat/>
    <w:rsid w:val="00e63b9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rsid w:val="00e63b98"/>
    <w:pPr>
      <w:spacing w:lineRule="auto" w:line="276" w:before="0" w:after="140"/>
    </w:pPr>
    <w:rPr/>
  </w:style>
  <w:style w:type="paragraph" w:styleId="Style22">
    <w:name w:val="List"/>
    <w:basedOn w:val="Style21"/>
    <w:rsid w:val="00e63b98"/>
    <w:pPr/>
    <w:rPr>
      <w:rFonts w:cs="Arial"/>
    </w:rPr>
  </w:style>
  <w:style w:type="paragraph" w:styleId="Style23" w:customStyle="1">
    <w:name w:val="Caption"/>
    <w:basedOn w:val="Normal"/>
    <w:qFormat/>
    <w:rsid w:val="00e63b98"/>
    <w:pPr>
      <w:suppressLineNumbers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e63b98"/>
    <w:pPr>
      <w:suppressLineNumbers/>
    </w:pPr>
    <w:rPr>
      <w:rFonts w:cs="Arial"/>
    </w:rPr>
  </w:style>
  <w:style w:type="paragraph" w:styleId="Style25" w:customStyle="1">
    <w:name w:val="Таблицы (моноширинный)"/>
    <w:basedOn w:val="Normal"/>
    <w:next w:val="Normal"/>
    <w:qFormat/>
    <w:rsid w:val="001933c9"/>
    <w:pPr>
      <w:jc w:val="both"/>
    </w:pPr>
    <w:rPr>
      <w:rFonts w:ascii="Courier New" w:hAnsi="Courier New" w:cs="Courier New"/>
      <w:sz w:val="20"/>
      <w:szCs w:val="20"/>
    </w:rPr>
  </w:style>
  <w:style w:type="paragraph" w:styleId="Style26">
    <w:name w:val="Body Text Indent"/>
    <w:basedOn w:val="Normal"/>
    <w:rsid w:val="001933c9"/>
    <w:pPr>
      <w:suppressAutoHyphens w:val="true"/>
      <w:ind w:firstLine="720"/>
      <w:jc w:val="both"/>
    </w:pPr>
    <w:rPr>
      <w:sz w:val="28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1933c9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aa5d83"/>
    <w:pPr>
      <w:widowControl w:val="fals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e97235"/>
    <w:pPr>
      <w:spacing w:before="0" w:after="0"/>
      <w:ind w:left="720" w:hanging="0"/>
      <w:contextualSpacing/>
    </w:pPr>
    <w:rPr/>
  </w:style>
  <w:style w:type="paragraph" w:styleId="Style27" w:customStyle="1">
    <w:name w:val="Верхний и нижний колонтитулы"/>
    <w:basedOn w:val="Normal"/>
    <w:qFormat/>
    <w:rsid w:val="00e63b98"/>
    <w:pPr/>
    <w:rPr/>
  </w:style>
  <w:style w:type="paragraph" w:styleId="Style28" w:customStyle="1">
    <w:name w:val="Header"/>
    <w:basedOn w:val="Normal"/>
    <w:uiPriority w:val="99"/>
    <w:unhideWhenUsed/>
    <w:rsid w:val="00930d25"/>
    <w:pPr>
      <w:tabs>
        <w:tab w:val="clear" w:pos="720"/>
        <w:tab w:val="center" w:pos="4677" w:leader="none"/>
        <w:tab w:val="right" w:pos="9355" w:leader="none"/>
      </w:tabs>
      <w:spacing w:lineRule="auto" w:line="259" w:before="0" w:after="160"/>
    </w:pPr>
    <w:rPr>
      <w:rFonts w:ascii="Calibri" w:hAnsi="Calibri" w:eastAsia="Calibri"/>
      <w:sz w:val="22"/>
      <w:szCs w:val="22"/>
      <w:lang w:eastAsia="en-US"/>
    </w:rPr>
  </w:style>
  <w:style w:type="paragraph" w:styleId="Style29" w:customStyle="1">
    <w:name w:val="Footer"/>
    <w:basedOn w:val="Normal"/>
    <w:uiPriority w:val="99"/>
    <w:unhideWhenUsed/>
    <w:rsid w:val="00930d25"/>
    <w:pPr>
      <w:tabs>
        <w:tab w:val="clear" w:pos="720"/>
        <w:tab w:val="center" w:pos="4677" w:leader="none"/>
        <w:tab w:val="right" w:pos="9355" w:leader="none"/>
      </w:tabs>
      <w:spacing w:lineRule="auto" w:line="259" w:before="0" w:after="160"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223d5e"/>
    <w:pPr>
      <w:widowControl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unhideWhenUsed/>
    <w:rsid w:val="00ef5fb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13F3E-605B-4D4F-8154-796A63FF8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Application>LibreOffice/6.3.4.2$Windows_x86 LibreOffice_project/60da17e045e08f1793c57c00ba83cdfce946d0aa</Application>
  <Pages>10</Pages>
  <Words>3038</Words>
  <Characters>23689</Characters>
  <CharactersWithSpaces>26618</CharactersWithSpaces>
  <Paragraphs>203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2023-06-27T08:12:00Z</dcterms:created>
  <dc:creator>Надежда Макарова</dc:creator>
  <dc:description/>
  <dc:language>ru-RU</dc:language>
  <cp:lastModifiedBy/>
  <cp:lastPrinted>2023-05-30T15:41:00Z</cp:lastPrinted>
  <dcterms:modified xsi:type="dcterms:W3CDTF">2023-12-13T10:03:04Z</dcterms:modified>
  <cp:revision>136</cp:revision>
  <dc:subject/>
  <dc:title>Постановление администрации Комсомольского муниципального округа ЧР от 17.01.2023 N 53"Об утверждении Порядка оценки налоговых расходов Комсомольского муниципального округа Чувашской Республики"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