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080" w:type="dxa"/>
        <w:jc w:val="left"/>
        <w:tblInd w:w="-34" w:type="dxa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960"/>
        <w:gridCol w:w="1793"/>
        <w:gridCol w:w="4327"/>
      </w:tblGrid>
      <w:tr>
        <w:trPr/>
        <w:tc>
          <w:tcPr>
            <w:tcW w:w="396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rFonts w:ascii="Arial Cyr Chuv" w:hAnsi="Arial Cyr Chuv"/>
              </w:rPr>
            </w:pPr>
            <w:r>
              <w:rPr>
                <w:rFonts w:cs="Arial Cyr Chuv" w:ascii="Arial Cyr Chuv" w:hAnsi="Arial Cyr Chuv"/>
                <w:b/>
                <w:bCs/>
                <w:iCs/>
                <w:sz w:val="26"/>
                <w:szCs w:val="26"/>
              </w:rPr>
              <w:t>Чёваш Республики</w:t>
            </w:r>
          </w:p>
          <w:p>
            <w:pPr>
              <w:pStyle w:val="Normal"/>
              <w:jc w:val="center"/>
              <w:rPr>
                <w:rFonts w:ascii="Arial Cyr Chuv" w:hAnsi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 xml:space="preserve">Елч.к </w:t>
            </w: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</w:t>
            </w:r>
            <w:r>
              <w:rPr>
                <w:b/>
                <w:sz w:val="26"/>
                <w:szCs w:val="26"/>
              </w:rPr>
              <w:t>ă</w:t>
            </w:r>
          </w:p>
          <w:p>
            <w:pPr>
              <w:pStyle w:val="Normal"/>
              <w:tabs>
                <w:tab w:val="clear" w:pos="720"/>
                <w:tab w:val="left" w:pos="896" w:leader="none"/>
              </w:tabs>
              <w:jc w:val="center"/>
              <w:rPr>
                <w:rFonts w:ascii="Arial Cyr Chuv" w:hAnsi="Arial Cyr Chuv"/>
                <w:b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округ.</w:t>
            </w:r>
          </w:p>
          <w:p>
            <w:pPr>
              <w:pStyle w:val="Normal"/>
              <w:jc w:val="center"/>
              <w:rPr>
                <w:rFonts w:ascii="Arial Cyr Chuv" w:hAnsi="Arial Cyr Chuv"/>
                <w:sz w:val="16"/>
                <w:szCs w:val="16"/>
              </w:rPr>
            </w:pPr>
            <w:r>
              <w:rPr>
                <w:rFonts w:ascii="Arial Cyr Chuv" w:hAnsi="Arial Cyr Chuv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Arial Cyr Chuv" w:hAnsi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 xml:space="preserve">Елч.к </w:t>
            </w: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муниципалё</w:t>
            </w:r>
          </w:p>
          <w:p>
            <w:pPr>
              <w:pStyle w:val="Normal"/>
              <w:tabs>
                <w:tab w:val="clear" w:pos="720"/>
                <w:tab w:val="left" w:pos="896" w:leader="none"/>
              </w:tabs>
              <w:spacing w:before="0" w:after="0"/>
              <w:contextualSpacing/>
              <w:jc w:val="center"/>
              <w:rPr>
                <w:rFonts w:ascii="Arial Cyr Chuv" w:hAnsi="Arial Cyr Chuv"/>
                <w:b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округ.н</w:t>
            </w:r>
          </w:p>
          <w:p>
            <w:pPr>
              <w:pStyle w:val="Normal"/>
              <w:jc w:val="center"/>
              <w:rPr>
                <w:rFonts w:ascii="Arial Cyr Chuv" w:hAnsi="Arial Cyr Chuv" w:cs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>администраций.</w:t>
            </w:r>
          </w:p>
          <w:p>
            <w:pPr>
              <w:pStyle w:val="Normal"/>
              <w:jc w:val="center"/>
              <w:rPr>
                <w:rFonts w:ascii="Arial Cyr Chuv" w:hAnsi="Arial Cyr Chuv" w:cs="Arial Cyr Chuv"/>
                <w:b/>
                <w:b/>
                <w:sz w:val="26"/>
              </w:rPr>
            </w:pPr>
            <w:r>
              <w:rPr>
                <w:rFonts w:cs="Arial Cyr Chuv" w:ascii="Arial Cyr Chuv" w:hAnsi="Arial Cyr Chuv"/>
                <w:b/>
                <w:sz w:val="26"/>
              </w:rPr>
              <w:t>ЙЫШЁНУ</w:t>
            </w:r>
          </w:p>
          <w:p>
            <w:pPr>
              <w:pStyle w:val="Normal"/>
              <w:jc w:val="center"/>
              <w:rPr>
                <w:rFonts w:ascii="Arial Cyr Chuv" w:hAnsi="Arial Cyr Chuv"/>
              </w:rPr>
            </w:pPr>
            <w:r>
              <w:rPr>
                <w:rFonts w:ascii="Arial Cyr Chuv" w:hAnsi="Arial Cyr Chuv"/>
              </w:rPr>
            </w:r>
          </w:p>
          <w:p>
            <w:pPr>
              <w:pStyle w:val="Normal"/>
              <w:ind w:left="-108" w:hanging="0"/>
              <w:jc w:val="center"/>
              <w:rPr/>
            </w:pPr>
            <w:r>
              <w:rPr/>
              <w:t xml:space="preserve">2023 </w:t>
            </w:r>
            <w:r>
              <w:rPr>
                <w:rFonts w:cs="Arial Cyr Chuv" w:ascii="Arial Cyr Chuv" w:hAnsi="Arial Cyr Chuv"/>
              </w:rPr>
              <w:t xml:space="preserve">=? июн.н   </w:t>
            </w:r>
            <w:r>
              <w:rPr>
                <w:rFonts w:cs="Arial Cyr Chuv" w:ascii="Arial Cyr Chuv" w:hAnsi="Arial Cyr Chuv"/>
              </w:rPr>
              <w:t>23</w:t>
            </w:r>
            <w:r>
              <w:rPr>
                <w:rFonts w:cs="Arial Cyr Chuv" w:ascii="Arial Cyr Chuv" w:hAnsi="Arial Cyr Chuv"/>
              </w:rPr>
              <w:t xml:space="preserve"> -</w:t>
            </w:r>
            <w:r>
              <w:rPr/>
              <w:t>м</w:t>
            </w:r>
            <w:r>
              <w:rPr>
                <w:rFonts w:cs="Arial Cyr Chuv" w:ascii="Arial Cyr Chuv" w:hAnsi="Arial Cyr Chuv"/>
              </w:rPr>
              <w:t>.</w:t>
            </w:r>
            <w:r>
              <w:rPr/>
              <w:t>ш</w:t>
            </w:r>
            <w:r>
              <w:rPr>
                <w:rFonts w:cs="Arial Cyr Chuv" w:ascii="Arial Cyr Chuv" w:hAnsi="Arial Cyr Chuv"/>
              </w:rPr>
              <w:t xml:space="preserve">. </w:t>
            </w:r>
            <w:r>
              <w:rPr/>
              <w:t xml:space="preserve">№ </w:t>
            </w:r>
            <w:r>
              <w:rPr/>
              <w:t>558</w:t>
            </w:r>
          </w:p>
          <w:p>
            <w:pPr>
              <w:pStyle w:val="Normal"/>
              <w:ind w:left="-36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</w:rPr>
              <w:t>Елч</w:t>
            </w:r>
            <w:r>
              <w:rPr>
                <w:rFonts w:cs="Arial Cyr Chuv" w:ascii="Arial Cyr Chuv" w:hAnsi="Arial Cyr Chuv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к ял</w:t>
            </w:r>
            <w:r>
              <w:rPr>
                <w:rFonts w:cs="Arial Cyr Chuv" w:ascii="Arial Cyr Chuv" w:hAnsi="Arial Cyr Chuv"/>
                <w:sz w:val="18"/>
                <w:szCs w:val="18"/>
              </w:rPr>
              <w:t>.</w:t>
            </w:r>
          </w:p>
        </w:tc>
        <w:tc>
          <w:tcPr>
            <w:tcW w:w="1793" w:type="dxa"/>
            <w:tcBorders/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bCs/>
                <w:iCs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676275" cy="87630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7" w:type="dxa"/>
            <w:tcBorders/>
            <w:shd w:color="auto" w:fill="auto" w:val="clear"/>
          </w:tcPr>
          <w:p>
            <w:pPr>
              <w:pStyle w:val="1"/>
              <w:numPr>
                <w:ilvl w:val="0"/>
                <w:numId w:val="1"/>
              </w:numPr>
              <w:suppressAutoHyphens w:val="true"/>
              <w:snapToGrid w:val="false"/>
              <w:ind w:right="72" w:hanging="0"/>
              <w:jc w:val="lef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</w:r>
          </w:p>
          <w:p>
            <w:pPr>
              <w:pStyle w:val="Normal"/>
              <w:ind w:left="-360" w:right="72" w:hanging="0"/>
              <w:jc w:val="center"/>
              <w:rPr/>
            </w:pPr>
            <w:r>
              <w:rPr>
                <w:rFonts w:cs="Arial Cyr Chuv" w:ascii="Arial Cyr Chuv" w:hAnsi="Arial Cyr Chuv"/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>
            <w:pPr>
              <w:pStyle w:val="Normal"/>
              <w:ind w:left="-357" w:right="74" w:hanging="0"/>
              <w:jc w:val="center"/>
              <w:rPr>
                <w:rFonts w:ascii="Arial Cyr Chuv" w:hAnsi="Arial Cyr Chuv" w:cs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 xml:space="preserve">Яльчикский </w:t>
            </w:r>
          </w:p>
          <w:p>
            <w:pPr>
              <w:pStyle w:val="Normal"/>
              <w:ind w:left="-357" w:right="74" w:hanging="0"/>
              <w:jc w:val="center"/>
              <w:rPr>
                <w:rFonts w:ascii="Arial Cyr Chuv" w:hAnsi="Arial Cyr Chuv" w:cs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>муниципальный округ</w:t>
            </w:r>
          </w:p>
          <w:p>
            <w:pPr>
              <w:pStyle w:val="Normal"/>
              <w:ind w:left="-357" w:right="74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ind w:left="-357" w:right="74" w:hanging="0"/>
              <w:jc w:val="center"/>
              <w:rPr/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 xml:space="preserve">Администрация </w:t>
            </w:r>
          </w:p>
          <w:p>
            <w:pPr>
              <w:pStyle w:val="Normal"/>
              <w:ind w:left="-357" w:right="74" w:hanging="0"/>
              <w:jc w:val="center"/>
              <w:rPr>
                <w:rFonts w:ascii="Arial Cyr Chuv" w:hAnsi="Arial Cyr Chuv" w:cs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 xml:space="preserve">Яльчикского </w:t>
            </w:r>
          </w:p>
          <w:p>
            <w:pPr>
              <w:pStyle w:val="Normal"/>
              <w:ind w:left="-357" w:right="74" w:hanging="0"/>
              <w:jc w:val="center"/>
              <w:rPr>
                <w:rFonts w:ascii="Arial Cyr Chuv" w:hAnsi="Arial Cyr Chuv" w:cs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>муниципального округа</w:t>
            </w:r>
          </w:p>
          <w:p>
            <w:pPr>
              <w:pStyle w:val="1"/>
              <w:numPr>
                <w:ilvl w:val="0"/>
                <w:numId w:val="1"/>
              </w:numPr>
              <w:suppressAutoHyphens w:val="true"/>
              <w:ind w:left="-357" w:right="74" w:hanging="0"/>
              <w:rPr/>
            </w:pPr>
            <w:r>
              <w:rPr>
                <w:b/>
                <w:sz w:val="26"/>
              </w:rPr>
              <w:t>ПОСТАНОВЛЕНИЕ</w:t>
            </w:r>
          </w:p>
          <w:p>
            <w:pPr>
              <w:pStyle w:val="Normal"/>
              <w:ind w:left="-357" w:right="72" w:hanging="0"/>
              <w:jc w:val="center"/>
              <w:rPr/>
            </w:pPr>
            <w:r>
              <w:rPr/>
            </w:r>
          </w:p>
          <w:p>
            <w:pPr>
              <w:pStyle w:val="Normal"/>
              <w:ind w:left="-360" w:right="72" w:hanging="0"/>
              <w:jc w:val="center"/>
              <w:rPr/>
            </w:pPr>
            <w:r>
              <w:rPr/>
              <w:t xml:space="preserve">«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23</w:t>
            </w:r>
            <w:r>
              <w:rPr/>
              <w:t xml:space="preserve"> » июня 2023 г. № </w:t>
            </w:r>
            <w:r>
              <w:rPr/>
              <w:t>558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</w:rPr>
              <w:t>село Яльчики</w:t>
            </w:r>
          </w:p>
        </w:tc>
      </w:tr>
    </w:tbl>
    <w:p>
      <w:pPr>
        <w:pStyle w:val="Normal"/>
        <w:tabs>
          <w:tab w:val="clear" w:pos="720"/>
          <w:tab w:val="left" w:pos="5954" w:leader="none"/>
          <w:tab w:val="left" w:pos="6521" w:leader="none"/>
        </w:tabs>
        <w:rPr>
          <w:sz w:val="28"/>
          <w:szCs w:val="28"/>
        </w:rPr>
      </w:pPr>
      <w:r>
        <w:rPr>
          <w:sz w:val="28"/>
          <w:szCs w:val="28"/>
        </w:rPr>
      </w:r>
      <w:bookmarkStart w:id="0" w:name="P95"/>
      <w:bookmarkStart w:id="1" w:name="P95"/>
      <w:bookmarkEnd w:id="1"/>
    </w:p>
    <w:p>
      <w:pPr>
        <w:pStyle w:val="Normal"/>
        <w:ind w:right="3826" w:hanging="0"/>
        <w:jc w:val="both"/>
        <w:rPr/>
      </w:pPr>
      <w:r>
        <w:rPr>
          <w:rFonts w:eastAsia="Calibri" w:eastAsiaTheme="minorHAnsi"/>
          <w:sz w:val="28"/>
          <w:szCs w:val="28"/>
        </w:rPr>
        <w:t xml:space="preserve">Об утверждении Порядка </w:t>
      </w:r>
      <w:r>
        <w:rPr>
          <w:rFonts w:eastAsia="Calibri" w:cs="Times New Roman" w:eastAsiaTheme="minorHAnsi"/>
          <w:sz w:val="28"/>
          <w:szCs w:val="28"/>
          <w:lang w:eastAsia="ru-RU"/>
        </w:rPr>
        <w:t xml:space="preserve">формирования </w:t>
      </w:r>
      <w:r>
        <w:rPr>
          <w:rFonts w:eastAsia="Calibri" w:cs="Times New Roman" w:eastAsiaTheme="minorHAnsi"/>
          <w:color w:val="auto"/>
          <w:kern w:val="0"/>
          <w:sz w:val="28"/>
          <w:szCs w:val="28"/>
          <w:lang w:val="ru-RU" w:eastAsia="ru-RU" w:bidi="ar-SA"/>
        </w:rPr>
        <w:t>перечня налоговых расходов</w:t>
      </w:r>
      <w:r>
        <w:rPr>
          <w:rFonts w:eastAsia="Calibri" w:cs="Times New Roman" w:eastAsiaTheme="minorHAnsi"/>
          <w:sz w:val="28"/>
          <w:szCs w:val="28"/>
          <w:lang w:eastAsia="ru-RU"/>
        </w:rPr>
        <w:t xml:space="preserve"> </w:t>
      </w:r>
      <w:r>
        <w:rPr>
          <w:rFonts w:eastAsia="Calibri" w:eastAsiaTheme="minorHAnsi"/>
          <w:sz w:val="28"/>
          <w:szCs w:val="28"/>
        </w:rPr>
        <w:t>Яльчикского муниципального округа Чувашской Республики</w:t>
      </w:r>
    </w:p>
    <w:p>
      <w:pPr>
        <w:pStyle w:val="Normal"/>
        <w:ind w:right="3826" w:hanging="0"/>
        <w:jc w:val="both"/>
        <w:rPr>
          <w:rFonts w:eastAsia="Calibri" w:eastAsiaTheme="minorHAnsi"/>
          <w:sz w:val="28"/>
          <w:szCs w:val="28"/>
        </w:rPr>
      </w:pPr>
      <w:r>
        <w:rPr>
          <w:rFonts w:eastAsia="Calibri" w:eastAsiaTheme="minorHAnsi"/>
          <w:sz w:val="28"/>
          <w:szCs w:val="28"/>
        </w:rPr>
      </w:r>
    </w:p>
    <w:p>
      <w:pPr>
        <w:pStyle w:val="Normal"/>
        <w:ind w:firstLine="540"/>
        <w:jc w:val="both"/>
        <w:rPr>
          <w:rFonts w:eastAsia="Calibri" w:eastAsiaTheme="minorHAnsi"/>
          <w:sz w:val="28"/>
          <w:szCs w:val="28"/>
        </w:rPr>
      </w:pPr>
      <w:r>
        <w:rPr>
          <w:rFonts w:eastAsia="Calibri" w:eastAsiaTheme="minorHAnsi"/>
          <w:sz w:val="28"/>
          <w:szCs w:val="28"/>
        </w:rPr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 w:eastAsiaTheme="minorHAnsi"/>
          <w:sz w:val="28"/>
          <w:szCs w:val="28"/>
        </w:rPr>
        <w:t>В соответствии с пунктом 1 статьи 174.3 Бюджетного кодекса Российской Федерации  администрация Яльчикского муниципального округа Чувашской Республики постановляет: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 w:eastAsiaTheme="minorHAnsi"/>
          <w:sz w:val="28"/>
          <w:szCs w:val="28"/>
        </w:rPr>
        <w:t>1. Утвердить прилагаемый Порядок формирования перечня налоговых расходов Яльчикского муниципального округа Чувашской Республики (далее - Порядок).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 w:cs="Times New Roman" w:eastAsiaTheme="minorHAnsi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eastAsiaTheme="minorHAnsi"/>
          <w:sz w:val="28"/>
          <w:szCs w:val="28"/>
        </w:rPr>
        <w:t xml:space="preserve">. Настоящее постановление вступает в силу </w:t>
      </w:r>
      <w:r>
        <w:rPr>
          <w:rFonts w:eastAsia="Calibri" w:cs="Times New Roman" w:eastAsiaTheme="minorHAnsi"/>
          <w:color w:val="auto"/>
          <w:kern w:val="0"/>
          <w:sz w:val="28"/>
          <w:szCs w:val="28"/>
          <w:lang w:val="ru-RU" w:eastAsia="ru-RU" w:bidi="ar-SA"/>
        </w:rPr>
        <w:t>после</w:t>
      </w:r>
      <w:r>
        <w:rPr>
          <w:rFonts w:eastAsia="Calibri" w:eastAsiaTheme="minorHAnsi"/>
          <w:sz w:val="28"/>
          <w:szCs w:val="28"/>
        </w:rPr>
        <w:t xml:space="preserve"> его официального опубликования.</w:t>
      </w:r>
    </w:p>
    <w:p>
      <w:pPr>
        <w:pStyle w:val="Normal"/>
        <w:suppressAutoHyphens w:val="true"/>
        <w:ind w:firstLine="567"/>
        <w:jc w:val="both"/>
        <w:rPr>
          <w:rFonts w:eastAsia="Calibri" w:eastAsiaTheme="minorHAnsi"/>
          <w:sz w:val="28"/>
          <w:szCs w:val="28"/>
        </w:rPr>
      </w:pPr>
      <w:r>
        <w:rPr>
          <w:rFonts w:eastAsia="Calibri" w:eastAsiaTheme="minorHAnsi"/>
          <w:sz w:val="28"/>
          <w:szCs w:val="28"/>
        </w:rPr>
      </w:r>
    </w:p>
    <w:p>
      <w:pPr>
        <w:pStyle w:val="Normal"/>
        <w:suppressAutoHyphens w:val="true"/>
        <w:ind w:firstLine="567"/>
        <w:jc w:val="both"/>
        <w:rPr>
          <w:rFonts w:eastAsia="Calibri" w:eastAsiaTheme="minorHAnsi"/>
          <w:sz w:val="28"/>
          <w:szCs w:val="28"/>
        </w:rPr>
      </w:pPr>
      <w:r>
        <w:rPr>
          <w:rFonts w:eastAsia="Calibri" w:eastAsiaTheme="minorHAnsi"/>
          <w:sz w:val="28"/>
          <w:szCs w:val="28"/>
        </w:rPr>
      </w:r>
    </w:p>
    <w:p>
      <w:pPr>
        <w:pStyle w:val="Normal"/>
        <w:spacing w:before="0" w:after="0"/>
        <w:ind w:firstLine="567"/>
        <w:contextualSpacing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Глава Яльчикского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>
      <w:pPr>
        <w:pStyle w:val="Normal"/>
        <w:rPr/>
      </w:pPr>
      <w:r>
        <w:rPr>
          <w:sz w:val="28"/>
          <w:szCs w:val="28"/>
        </w:rPr>
        <w:t xml:space="preserve">Чувашской Республики                                                               Л.В. Левый   </w:t>
      </w:r>
    </w:p>
    <w:p>
      <w:pPr>
        <w:pStyle w:val="Normal"/>
        <w:widowControl w:val="false"/>
        <w:ind w:left="5387" w:hanging="0"/>
        <w:rPr>
          <w:caps/>
          <w:color w:val="000000"/>
          <w:sz w:val="28"/>
          <w:szCs w:val="28"/>
          <w:highlight w:val="yellow"/>
        </w:rPr>
      </w:pPr>
      <w:r>
        <w:rPr>
          <w:caps/>
          <w:color w:val="000000"/>
          <w:sz w:val="28"/>
          <w:szCs w:val="28"/>
          <w:highlight w:val="yellow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Normal"/>
        <w:widowControl w:val="false"/>
        <w:ind w:left="4536" w:hanging="0"/>
        <w:jc w:val="right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Утвержден</w:t>
      </w:r>
    </w:p>
    <w:p>
      <w:pPr>
        <w:pStyle w:val="Normal"/>
        <w:widowControl w:val="false"/>
        <w:ind w:left="4536" w:hanging="0"/>
        <w:jc w:val="right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постановлением администрации</w:t>
      </w:r>
      <w:r>
        <w:rPr>
          <w:rFonts w:cs="Arial"/>
          <w:sz w:val="24"/>
          <w:szCs w:val="24"/>
        </w:rPr>
        <w:t xml:space="preserve"> Яльчикского муниципального округа </w:t>
      </w:r>
    </w:p>
    <w:p>
      <w:pPr>
        <w:pStyle w:val="Normal"/>
        <w:widowControl w:val="false"/>
        <w:ind w:left="4536" w:hanging="0"/>
        <w:jc w:val="right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Чувашской Республики</w:t>
      </w:r>
    </w:p>
    <w:p>
      <w:pPr>
        <w:pStyle w:val="Normal"/>
        <w:widowControl w:val="false"/>
        <w:ind w:left="4536" w:hanging="0"/>
        <w:jc w:val="right"/>
        <w:rPr/>
      </w:pPr>
      <w:r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  <w:lang w:val="en-US"/>
        </w:rPr>
        <w:t>23</w:t>
      </w:r>
      <w:r>
        <w:rPr>
          <w:color w:val="000000"/>
          <w:sz w:val="24"/>
          <w:szCs w:val="24"/>
        </w:rPr>
        <w:t xml:space="preserve">.06.2023 № </w:t>
      </w:r>
      <w:r>
        <w:rPr>
          <w:color w:val="000000"/>
          <w:sz w:val="24"/>
          <w:szCs w:val="24"/>
          <w:lang w:val="en-US"/>
        </w:rPr>
        <w:t>558</w:t>
      </w:r>
    </w:p>
    <w:p>
      <w:pPr>
        <w:pStyle w:val="Normal"/>
        <w:widowControl w:val="false"/>
        <w:ind w:left="5387" w:hanging="0"/>
        <w:rPr>
          <w:b/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ПОРЯДОК</w:t>
      </w:r>
    </w:p>
    <w:p>
      <w:pPr>
        <w:pStyle w:val="Normal"/>
        <w:jc w:val="center"/>
        <w:rPr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ФОРМИРОВАНИЯ </w:t>
      </w:r>
      <w:r>
        <w:rPr>
          <w:rFonts w:eastAsia="Times New Roman" w:cs="Times New Roman"/>
          <w:b/>
          <w:color w:val="auto"/>
          <w:kern w:val="0"/>
          <w:sz w:val="24"/>
          <w:szCs w:val="24"/>
          <w:lang w:val="ru-RU" w:eastAsia="ru-RU" w:bidi="ar-SA"/>
        </w:rPr>
        <w:t>ПЕРЕЧНЯ НАЛОГОВЫХ РАСХОДОВ</w:t>
      </w:r>
      <w:r>
        <w:rPr>
          <w:b/>
          <w:sz w:val="24"/>
          <w:szCs w:val="24"/>
        </w:rPr>
        <w:t xml:space="preserve"> ЯЛЬЧИКСКОГО МУНИЦИПАЛЬНОГО ОКРУГА ЧУВАШСКОЙ РЕСПУБЛИКИ </w:t>
      </w:r>
    </w:p>
    <w:p>
      <w:pPr>
        <w:pStyle w:val="Normal"/>
        <w:jc w:val="center"/>
        <w:rPr>
          <w:b/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</w:p>
    <w:p>
      <w:pPr>
        <w:pStyle w:val="Normal"/>
        <w:numPr>
          <w:ilvl w:val="0"/>
          <w:numId w:val="0"/>
        </w:numPr>
        <w:spacing w:before="108" w:after="108"/>
        <w:ind w:left="0" w:right="0" w:hanging="0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I. Общие положения</w:t>
      </w:r>
      <w:bookmarkStart w:id="2" w:name="sub_1001"/>
      <w:bookmarkEnd w:id="2"/>
    </w:p>
    <w:p>
      <w:pPr>
        <w:pStyle w:val="Normal"/>
        <w:ind w:left="0" w:right="0" w:firstLine="720"/>
        <w:jc w:val="both"/>
        <w:rPr/>
      </w:pPr>
      <w:bookmarkStart w:id="3" w:name="sub_11"/>
      <w:bookmarkEnd w:id="3"/>
      <w:r>
        <w:rPr>
          <w:color w:val="000000"/>
          <w:sz w:val="24"/>
          <w:szCs w:val="24"/>
        </w:rPr>
        <w:t xml:space="preserve">1.1. Настоящий Порядок определяет процедуру формирования перечня налоговых расходов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 xml:space="preserve"> по </w:t>
      </w:r>
      <w:r>
        <w:rPr>
          <w:color w:val="000000"/>
          <w:sz w:val="24"/>
          <w:szCs w:val="24"/>
        </w:rPr>
        <w:t xml:space="preserve">налогам, установленным муниципальными правовыми актами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 в пределах полномочий, отнесенных </w:t>
      </w:r>
      <w:r>
        <w:rPr>
          <w:rStyle w:val="Style18"/>
          <w:strike w:val="false"/>
          <w:dstrike w:val="false"/>
          <w:color w:val="000000"/>
          <w:sz w:val="24"/>
          <w:szCs w:val="24"/>
          <w:u w:val="none"/>
        </w:rPr>
        <w:t>законодательством</w:t>
      </w:r>
      <w:r>
        <w:rPr>
          <w:color w:val="000000"/>
          <w:sz w:val="24"/>
          <w:szCs w:val="24"/>
        </w:rPr>
        <w:t xml:space="preserve"> Российской Федерации о налогах и сборах к ведению органов местного самоуправления.</w:t>
      </w:r>
    </w:p>
    <w:p>
      <w:pPr>
        <w:pStyle w:val="Normal"/>
        <w:ind w:left="0" w:right="0" w:firstLine="720"/>
        <w:jc w:val="both"/>
        <w:rPr>
          <w:color w:val="000000"/>
          <w:sz w:val="24"/>
          <w:szCs w:val="24"/>
        </w:rPr>
      </w:pPr>
      <w:bookmarkStart w:id="4" w:name="sub_111"/>
      <w:bookmarkEnd w:id="4"/>
      <w:r>
        <w:rPr>
          <w:color w:val="000000"/>
          <w:sz w:val="24"/>
          <w:szCs w:val="24"/>
        </w:rPr>
        <w:t>1.2. Для целей настоящего Порядка используются следующие понятия и термины:</w:t>
      </w:r>
      <w:bookmarkStart w:id="5" w:name="sub_12"/>
      <w:bookmarkEnd w:id="5"/>
    </w:p>
    <w:p>
      <w:pPr>
        <w:pStyle w:val="Normal"/>
        <w:ind w:left="0" w:right="0" w:firstLine="720"/>
        <w:jc w:val="both"/>
        <w:rPr>
          <w:highlight w:val="yellow"/>
        </w:rPr>
      </w:pPr>
      <w:r>
        <w:rPr>
          <w:b/>
          <w:bCs/>
          <w:color w:val="000000"/>
          <w:sz w:val="24"/>
          <w:szCs w:val="24"/>
        </w:rPr>
        <w:t xml:space="preserve">налоговые расходы 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 w:eastAsia="zh-CN" w:bidi="ar-SA"/>
        </w:rPr>
        <w:t>Яльчикского муниципального округа Чувашской Республики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- выпадающие доходы бюджета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>Яльчикского муниципального округа Чувашской Республики</w:t>
      </w:r>
      <w:r>
        <w:rPr>
          <w:color w:val="000000"/>
          <w:sz w:val="24"/>
          <w:szCs w:val="24"/>
        </w:rPr>
        <w:t xml:space="preserve">, обусловленные налоговыми льготами, освобождениями и иными преференциями по налогам, предусмотренными в качестве мер  поддержки в соответствии с целями муниципальных программ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 и (или) целями социально-экономического развития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, не относящимися к муниципальным  программам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>;</w:t>
      </w:r>
    </w:p>
    <w:p>
      <w:pPr>
        <w:pStyle w:val="Normal"/>
        <w:ind w:left="0" w:right="0" w:firstLine="720"/>
        <w:jc w:val="both"/>
        <w:rPr/>
      </w:pPr>
      <w:r>
        <w:rPr>
          <w:b/>
          <w:bCs/>
          <w:color w:val="000000"/>
          <w:sz w:val="24"/>
          <w:szCs w:val="24"/>
        </w:rPr>
        <w:t xml:space="preserve">куратор налоговых расходов 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 w:eastAsia="zh-CN" w:bidi="ar-SA"/>
        </w:rPr>
        <w:t>Яльчикского муниципального округа Чувашской Республики (да</w:t>
      </w:r>
      <w:r>
        <w:rPr>
          <w:b/>
          <w:bCs/>
          <w:color w:val="000000"/>
          <w:sz w:val="24"/>
          <w:szCs w:val="24"/>
        </w:rPr>
        <w:t>лее - куратор налоговых расходов)</w:t>
      </w:r>
      <w:r>
        <w:rPr>
          <w:color w:val="000000"/>
          <w:sz w:val="24"/>
          <w:szCs w:val="24"/>
        </w:rPr>
        <w:t xml:space="preserve"> –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орган местного самоуправления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  <w:highlight w:val="yellow"/>
        </w:rPr>
        <w:t xml:space="preserve"> </w:t>
      </w:r>
      <w:r>
        <w:rPr>
          <w:color w:val="000000"/>
          <w:sz w:val="24"/>
          <w:szCs w:val="24"/>
        </w:rPr>
        <w:t xml:space="preserve">ответственный в соответствии с полномочиями, установленными нормативными правовыми актами Яльчикского муниципального округа Чувашской Республики, за достижение соответствующих налоговому расходу </w:t>
      </w:r>
      <w:bookmarkStart w:id="6" w:name="__DdeLink__2353_683498414"/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bookmarkEnd w:id="6"/>
      <w:r>
        <w:rPr>
          <w:color w:val="000000"/>
          <w:sz w:val="24"/>
          <w:szCs w:val="24"/>
        </w:rPr>
        <w:t xml:space="preserve"> целей муниципальной программы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 и (или) целей социально-экономического развития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, не относящихся к муниципальным программам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>;</w:t>
      </w:r>
    </w:p>
    <w:p>
      <w:pPr>
        <w:pStyle w:val="Normal"/>
        <w:ind w:left="0" w:right="0" w:firstLine="720"/>
        <w:jc w:val="both"/>
        <w:rPr/>
      </w:pPr>
      <w:r>
        <w:rPr>
          <w:b/>
          <w:bCs/>
          <w:color w:val="000000"/>
          <w:sz w:val="24"/>
          <w:szCs w:val="24"/>
        </w:rPr>
        <w:t xml:space="preserve">перечень налоговых расходов 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- документ, содержащий сведения о распределении налоговых расходов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 в соответствии с целями муниципальных программ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 и (или) целями социально-экономического развития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, не относящимися к муниципальным программам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>, а также о кураторах налоговых расходов.</w:t>
      </w:r>
    </w:p>
    <w:p>
      <w:pPr>
        <w:pStyle w:val="Normal"/>
        <w:numPr>
          <w:ilvl w:val="0"/>
          <w:numId w:val="0"/>
        </w:numPr>
        <w:spacing w:before="108" w:after="108"/>
        <w:ind w:left="0" w:right="0" w:hanging="0"/>
        <w:jc w:val="center"/>
        <w:rPr/>
      </w:pPr>
      <w:r>
        <w:rPr>
          <w:b/>
          <w:bCs/>
          <w:color w:val="000000"/>
          <w:sz w:val="24"/>
          <w:szCs w:val="24"/>
        </w:rPr>
        <w:t xml:space="preserve">II. Формирование перечня налоговых расходов 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 w:eastAsia="zh-CN" w:bidi="ar-SA"/>
        </w:rPr>
        <w:t xml:space="preserve">Яльчикского муниципального округа Чувашской Республики </w:t>
      </w:r>
      <w:bookmarkStart w:id="7" w:name="sub_1002"/>
      <w:bookmarkEnd w:id="7"/>
    </w:p>
    <w:p>
      <w:pPr>
        <w:pStyle w:val="Normal"/>
        <w:ind w:left="0" w:right="0" w:firstLine="720"/>
        <w:jc w:val="both"/>
        <w:rPr/>
      </w:pPr>
      <w:bookmarkStart w:id="8" w:name="sub_21"/>
      <w:bookmarkEnd w:id="8"/>
      <w:r>
        <w:rPr>
          <w:color w:val="000000"/>
          <w:sz w:val="24"/>
          <w:szCs w:val="24"/>
        </w:rPr>
        <w:t xml:space="preserve">2.1. Проект перечня налоговых расходов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 на очередной финансовый год и плановый период (далее - проект перечня налоговых расходов) или предложения о внесении изменений в перечень налоговых расходов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  формируются финансовым отделом администрации </w:t>
      </w: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Яльчикского</w:t>
      </w:r>
      <w:r>
        <w:rPr>
          <w:color w:val="000000"/>
          <w:sz w:val="24"/>
          <w:szCs w:val="24"/>
        </w:rPr>
        <w:t xml:space="preserve">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>муниципального округа  Ч</w:t>
      </w:r>
      <w:r>
        <w:rPr>
          <w:color w:val="000000"/>
          <w:sz w:val="24"/>
          <w:szCs w:val="24"/>
        </w:rPr>
        <w:t xml:space="preserve">увашской Республики (далее – финансовый отдел) ежегодно в срок до 1 ноября текущего года по форме согласно </w:t>
      </w:r>
      <w:r>
        <w:rPr>
          <w:rStyle w:val="Style18"/>
          <w:color w:val="000000"/>
          <w:sz w:val="24"/>
          <w:szCs w:val="24"/>
          <w:u w:val="none"/>
        </w:rPr>
        <w:t>приложению</w:t>
      </w:r>
      <w:r>
        <w:rPr>
          <w:color w:val="000000"/>
          <w:sz w:val="24"/>
          <w:szCs w:val="24"/>
        </w:rPr>
        <w:t xml:space="preserve"> к настоящему Порядку и направляются на согласование в органы местного самоуправления Яльчикского муниципального округа Чувашской Республики, которые предлагается определить в качестве кураторов налоговых расходов.</w:t>
      </w:r>
    </w:p>
    <w:p>
      <w:pPr>
        <w:pStyle w:val="Normal"/>
        <w:ind w:left="0" w:right="0" w:firstLine="720"/>
        <w:jc w:val="both"/>
        <w:rPr/>
      </w:pPr>
      <w:bookmarkStart w:id="9" w:name="sub_211"/>
      <w:bookmarkEnd w:id="9"/>
      <w:r>
        <w:rPr>
          <w:color w:val="000000"/>
          <w:sz w:val="24"/>
          <w:szCs w:val="24"/>
        </w:rPr>
        <w:t xml:space="preserve">2.2.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Органы местного самоуправления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zh-CN" w:bidi="ar-SA"/>
        </w:rPr>
        <w:t>Яльчикского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 w:ascii="Times New Roman;serif" w:hAnsi="Times New Roman;serif"/>
          <w:b w:val="false"/>
          <w:color w:val="000000"/>
          <w:kern w:val="0"/>
          <w:sz w:val="24"/>
          <w:szCs w:val="24"/>
          <w:lang w:val="ru-RU" w:eastAsia="ru-RU" w:bidi="ar-SA"/>
        </w:rPr>
        <w:t>муниципального округа  Ч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увашской Республики, указанные в пункте 2.1 настоящего Порядка,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</w:t>
      </w:r>
      <w:r>
        <w:rPr>
          <w:color w:val="000000"/>
          <w:sz w:val="24"/>
          <w:szCs w:val="24"/>
        </w:rPr>
        <w:t xml:space="preserve">в срок до 10 ноября текущего года рассматривают проект перечня налоговых расходов или предложения о внесении изменений в перечень налоговых расходов Яльчикского муниципального округа Чувашской Республики на предмет предлагаемого распределения налоговых расходов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 в соответствии с целями муниципальных  программ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 и  (или) целями социально-экономического развития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, не относящимися к муниципальным программам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, и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определения кураторов налоговых расходов</w:t>
      </w:r>
      <w:r>
        <w:rPr>
          <w:color w:val="000000"/>
          <w:sz w:val="24"/>
          <w:szCs w:val="24"/>
        </w:rPr>
        <w:t>.</w:t>
      </w:r>
    </w:p>
    <w:p>
      <w:pPr>
        <w:pStyle w:val="Normal"/>
        <w:ind w:left="0" w:right="0" w:firstLine="720"/>
        <w:jc w:val="both"/>
        <w:rPr/>
      </w:pPr>
      <w:bookmarkStart w:id="10" w:name="sub_22"/>
      <w:bookmarkEnd w:id="10"/>
      <w:r>
        <w:rPr>
          <w:color w:val="000000"/>
          <w:sz w:val="24"/>
          <w:szCs w:val="24"/>
        </w:rPr>
        <w:t xml:space="preserve">Замечания и предложения по уточнению проекта перечня налоговых расходов или предложения о внесении изменений в перечень налоговых расходов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Яльчикского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zh-CN" w:bidi="ar-SA"/>
        </w:rPr>
        <w:t xml:space="preserve">муниципального округа </w:t>
      </w:r>
      <w:r>
        <w:rPr>
          <w:color w:val="000000"/>
          <w:sz w:val="24"/>
          <w:szCs w:val="24"/>
        </w:rPr>
        <w:t xml:space="preserve">Чувашской Республики направляются в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финансовый отдел</w:t>
      </w:r>
      <w:r>
        <w:rPr>
          <w:color w:val="000000"/>
          <w:sz w:val="24"/>
          <w:szCs w:val="24"/>
        </w:rPr>
        <w:t>.</w:t>
      </w:r>
    </w:p>
    <w:p>
      <w:pPr>
        <w:pStyle w:val="Normal"/>
        <w:ind w:left="0" w:right="0" w:firstLine="720"/>
        <w:jc w:val="both"/>
        <w:rPr/>
      </w:pPr>
      <w:r>
        <w:rPr>
          <w:color w:val="000000"/>
          <w:sz w:val="24"/>
          <w:szCs w:val="24"/>
        </w:rPr>
        <w:t xml:space="preserve">В случае если эти замечания и предложения не направлены в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финансовый отдел</w:t>
      </w:r>
      <w:r>
        <w:rPr>
          <w:color w:val="000000"/>
          <w:sz w:val="24"/>
          <w:szCs w:val="24"/>
        </w:rPr>
        <w:t xml:space="preserve"> в течение срока, указанного в абзаце первом настоящего пункта, проект перечня налоговых расходов или предложения о внесении изменений в перечень налоговых расходов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color w:val="000000"/>
          <w:sz w:val="24"/>
          <w:szCs w:val="24"/>
        </w:rPr>
        <w:t>Чувашской Республики считаются согласованными в соответствующей части.</w:t>
      </w:r>
    </w:p>
    <w:p>
      <w:pPr>
        <w:pStyle w:val="Normal"/>
        <w:ind w:left="0" w:right="0" w:firstLine="720"/>
        <w:jc w:val="both"/>
        <w:rPr/>
      </w:pPr>
      <w:r>
        <w:rPr>
          <w:color w:val="000000"/>
          <w:sz w:val="24"/>
          <w:szCs w:val="24"/>
        </w:rPr>
        <w:t xml:space="preserve">В случае если замечания и предложения по уточнению проекта перечня налоговых расходов или предложений о внесении изменений в перечень налоговых расходов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color w:val="000000"/>
          <w:sz w:val="24"/>
          <w:szCs w:val="24"/>
        </w:rPr>
        <w:t xml:space="preserve">Чувашской Республики не содержат предложений по уточнению предлагаемого распределения налоговых расходов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color w:val="000000"/>
          <w:sz w:val="24"/>
          <w:szCs w:val="24"/>
        </w:rPr>
        <w:t xml:space="preserve">Чувашской Республики в соответствии с целями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муниципальных</w:t>
      </w:r>
      <w:r>
        <w:rPr>
          <w:color w:val="000000"/>
          <w:sz w:val="24"/>
          <w:szCs w:val="24"/>
        </w:rPr>
        <w:t xml:space="preserve"> программ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color w:val="000000"/>
          <w:sz w:val="24"/>
          <w:szCs w:val="24"/>
        </w:rPr>
        <w:t xml:space="preserve">Чувашской Республики и (или) целями социально-экономической политики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color w:val="000000"/>
          <w:sz w:val="24"/>
          <w:szCs w:val="24"/>
        </w:rPr>
        <w:t xml:space="preserve">Чувашской Республики, не относящимися к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муниципальным</w:t>
      </w:r>
      <w:r>
        <w:rPr>
          <w:color w:val="000000"/>
          <w:sz w:val="24"/>
          <w:szCs w:val="24"/>
        </w:rPr>
        <w:t xml:space="preserve"> программам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color w:val="000000"/>
          <w:sz w:val="24"/>
          <w:szCs w:val="24"/>
        </w:rPr>
        <w:t xml:space="preserve">Чувашской Республики, проект перечня налоговых расходов или предложения о внесении изменений в перечень налоговых расходов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color w:val="000000"/>
          <w:sz w:val="24"/>
          <w:szCs w:val="24"/>
        </w:rPr>
        <w:t>Чувашской Республики считаются согласованными в соответствующей части.</w:t>
      </w:r>
    </w:p>
    <w:p>
      <w:pPr>
        <w:pStyle w:val="Normal"/>
        <w:ind w:left="0" w:right="0" w:firstLine="720"/>
        <w:jc w:val="both"/>
        <w:rPr/>
      </w:pPr>
      <w:r>
        <w:rPr>
          <w:color w:val="000000"/>
          <w:sz w:val="24"/>
          <w:szCs w:val="24"/>
        </w:rPr>
        <w:t xml:space="preserve">При наличии разногласий по проекту перечня налоговых расходов или предложениям о внесении изменений в перечень налоговых расходов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color w:val="000000"/>
          <w:sz w:val="24"/>
          <w:szCs w:val="24"/>
        </w:rPr>
        <w:t xml:space="preserve">Чувашской Республики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финансовый отдел</w:t>
      </w:r>
      <w:r>
        <w:rPr>
          <w:color w:val="000000"/>
          <w:sz w:val="24"/>
          <w:szCs w:val="24"/>
        </w:rPr>
        <w:t xml:space="preserve"> обеспечивает проведение согласительных совещаний с соответствующими органами местного самоуправления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>муниципального округа</w:t>
      </w:r>
      <w:r>
        <w:rPr>
          <w:color w:val="000000"/>
          <w:sz w:val="24"/>
          <w:szCs w:val="24"/>
        </w:rPr>
        <w:t xml:space="preserve"> Чувашской Республики до 20 ноября текущего года.</w:t>
      </w:r>
    </w:p>
    <w:p>
      <w:pPr>
        <w:pStyle w:val="Normal"/>
        <w:ind w:left="0" w:right="0" w:firstLine="720"/>
        <w:jc w:val="both"/>
        <w:rPr/>
      </w:pPr>
      <w:bookmarkStart w:id="11" w:name="sub_23"/>
      <w:bookmarkEnd w:id="11"/>
      <w:r>
        <w:rPr>
          <w:color w:val="000000"/>
          <w:sz w:val="24"/>
          <w:szCs w:val="24"/>
        </w:rPr>
        <w:t xml:space="preserve">2.3. После завершения процедур, указанных в </w:t>
      </w:r>
      <w:r>
        <w:rPr>
          <w:rStyle w:val="Style18"/>
          <w:color w:val="000000"/>
          <w:sz w:val="24"/>
          <w:szCs w:val="24"/>
          <w:u w:val="none"/>
        </w:rPr>
        <w:t>пункте 2.2</w:t>
      </w:r>
      <w:r>
        <w:rPr>
          <w:color w:val="000000"/>
          <w:sz w:val="24"/>
          <w:szCs w:val="24"/>
        </w:rPr>
        <w:t xml:space="preserve"> настоящего Порядка, перечень налоговых расходов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 считается сформированным и размещается на официальном сайте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>Чувашской Республики</w:t>
      </w:r>
      <w:r>
        <w:rPr>
          <w:color w:val="000000"/>
          <w:sz w:val="24"/>
          <w:szCs w:val="24"/>
        </w:rPr>
        <w:t xml:space="preserve"> на Портале органов власти Чувашской Республики в информационно-телекоммуникационной сети «Интернет» в срок до 1 декабря текущего года.</w:t>
      </w:r>
    </w:p>
    <w:p>
      <w:pPr>
        <w:pStyle w:val="Normal"/>
        <w:ind w:left="0" w:right="0" w:firstLine="720"/>
        <w:jc w:val="both"/>
        <w:rPr/>
      </w:pPr>
      <w:bookmarkStart w:id="12" w:name="sub_231"/>
      <w:bookmarkEnd w:id="12"/>
      <w:r>
        <w:rPr>
          <w:color w:val="000000"/>
          <w:sz w:val="24"/>
          <w:szCs w:val="24"/>
        </w:rPr>
        <w:t xml:space="preserve">2.4. В случае изменения в текущем году состава налоговых расходов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>Чувашской Республики</w:t>
      </w:r>
      <w:r>
        <w:rPr>
          <w:color w:val="000000"/>
          <w:sz w:val="24"/>
          <w:szCs w:val="24"/>
        </w:rPr>
        <w:t xml:space="preserve">, внесения изменений в перечень муниципальных программ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>Чувашской Республики</w:t>
      </w:r>
      <w:r>
        <w:rPr>
          <w:color w:val="000000"/>
          <w:sz w:val="24"/>
          <w:szCs w:val="24"/>
        </w:rPr>
        <w:t xml:space="preserve">, изменений полномочий органов местного самоуправления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Чувашской Республики, указанных в пункте 2.1 настоящего Порядка, </w:t>
      </w:r>
      <w:r>
        <w:rPr>
          <w:color w:val="000000"/>
          <w:sz w:val="24"/>
          <w:szCs w:val="24"/>
        </w:rPr>
        <w:t xml:space="preserve">в связи с которыми возникает необходимость внесения изменений в перечень налоговых расходов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,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кураторы налоговых расходов</w:t>
      </w:r>
      <w:r>
        <w:rPr>
          <w:color w:val="000000"/>
          <w:sz w:val="24"/>
          <w:szCs w:val="24"/>
        </w:rPr>
        <w:t xml:space="preserve"> в срок не позднее 10 рабочих дней со дня внесения соответствующих изменений направляют в финансовый отдел информацию для уточнения перечня налоговых расходов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. Финансовый отдел вносит соответствующие изменения в перечень налоговых расходов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 xml:space="preserve">муниципального округа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>Чувашской Республики</w:t>
      </w:r>
      <w:r>
        <w:rPr>
          <w:color w:val="000000"/>
          <w:sz w:val="24"/>
          <w:szCs w:val="24"/>
        </w:rPr>
        <w:t xml:space="preserve"> и размещает его на официальном сайте </w:t>
      </w:r>
      <w:r>
        <w:rPr>
          <w:b w:val="false"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color w:val="000000"/>
          <w:sz w:val="24"/>
          <w:szCs w:val="24"/>
          <w:lang w:val="ru-RU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  <w:r>
        <w:rPr>
          <w:color w:val="000000"/>
          <w:sz w:val="24"/>
          <w:szCs w:val="24"/>
        </w:rPr>
        <w:t xml:space="preserve"> на Портале органов власти Чувашской Республики в информационно-телекоммуникационной сети «Интернет» в течение 10 рабочих дней со дня получения указанной информации.</w:t>
      </w:r>
      <w:bookmarkStart w:id="13" w:name="sub_24"/>
      <w:bookmarkEnd w:id="13"/>
    </w:p>
    <w:p>
      <w:pPr>
        <w:sectPr>
          <w:headerReference w:type="default" r:id="rId3"/>
          <w:footerReference w:type="default" r:id="rId4"/>
          <w:type w:val="nextPage"/>
          <w:pgSz w:w="11906" w:h="16838"/>
          <w:pgMar w:left="1701" w:right="850" w:header="708" w:top="765" w:footer="708" w:bottom="765" w:gutter="0"/>
          <w:pgNumType w:fmt="decimal"/>
          <w:formProt w:val="false"/>
          <w:textDirection w:val="lrTb"/>
          <w:docGrid w:type="default" w:linePitch="360" w:charSpace="0"/>
        </w:sectPr>
        <w:pStyle w:val="Normal"/>
        <w:ind w:left="0" w:right="0" w:firstLine="720"/>
        <w:jc w:val="both"/>
        <w:rPr>
          <w:b/>
          <w:b/>
          <w:bCs/>
          <w:color w:val="000000"/>
          <w:sz w:val="24"/>
          <w:szCs w:val="24"/>
          <w:highlight w:val="yellow"/>
        </w:rPr>
      </w:pPr>
      <w:r>
        <w:rPr>
          <w:b/>
          <w:bCs/>
          <w:color w:val="000000"/>
          <w:sz w:val="24"/>
          <w:szCs w:val="24"/>
          <w:highlight w:val="yellow"/>
        </w:rPr>
      </w:r>
    </w:p>
    <w:p>
      <w:pPr>
        <w:pStyle w:val="Normal"/>
        <w:ind w:left="9214" w:right="0" w:firstLine="720"/>
        <w:rPr/>
      </w:pPr>
      <w:r>
        <w:rPr>
          <w:bCs/>
          <w:color w:val="000000"/>
          <w:sz w:val="24"/>
          <w:szCs w:val="24"/>
        </w:rPr>
        <w:t>Приложение</w:t>
        <w:br/>
        <w:t xml:space="preserve">к </w:t>
      </w:r>
      <w:r>
        <w:rPr>
          <w:rStyle w:val="Style18"/>
          <w:color w:val="000000"/>
          <w:sz w:val="24"/>
          <w:szCs w:val="24"/>
          <w:u w:val="none"/>
        </w:rPr>
        <w:t>Порядку</w:t>
      </w:r>
      <w:r>
        <w:rPr>
          <w:bCs/>
          <w:color w:val="000000"/>
          <w:sz w:val="24"/>
          <w:szCs w:val="24"/>
        </w:rPr>
        <w:t xml:space="preserve"> формирования</w:t>
        <w:br/>
        <w:t>перечня налоговых расходов</w:t>
        <w:br/>
      </w:r>
      <w:r>
        <w:rPr>
          <w:b w:val="false"/>
          <w:bCs/>
          <w:color w:val="000000"/>
          <w:sz w:val="24"/>
          <w:szCs w:val="24"/>
          <w:lang w:val="ru-RU"/>
        </w:rPr>
        <w:t xml:space="preserve">Яльчикского </w:t>
      </w:r>
      <w:r>
        <w:rPr>
          <w:rFonts w:ascii="Times New Roman;serif" w:hAnsi="Times New Roman;serif"/>
          <w:b w:val="false"/>
          <w:bCs/>
          <w:color w:val="000000"/>
          <w:sz w:val="24"/>
          <w:szCs w:val="24"/>
          <w:lang w:val="ru-RU"/>
        </w:rPr>
        <w:t>муниципального округа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Чувашской Республики</w:t>
      </w:r>
    </w:p>
    <w:p>
      <w:pPr>
        <w:pStyle w:val="Normal"/>
        <w:ind w:left="9214" w:right="0" w:hanging="0"/>
        <w:jc w:val="both"/>
        <w:rPr>
          <w:color w:val="000000"/>
          <w:sz w:val="24"/>
          <w:szCs w:val="24"/>
          <w:highlight w:val="yellow"/>
        </w:rPr>
      </w:pPr>
      <w:r>
        <w:rPr>
          <w:color w:val="000000"/>
          <w:sz w:val="24"/>
          <w:szCs w:val="24"/>
          <w:highlight w:val="yellow"/>
        </w:rPr>
      </w:r>
    </w:p>
    <w:p>
      <w:pPr>
        <w:pStyle w:val="Normal"/>
        <w:numPr>
          <w:ilvl w:val="0"/>
          <w:numId w:val="0"/>
        </w:numPr>
        <w:ind w:left="0" w:right="0" w:hanging="0"/>
        <w:jc w:val="center"/>
        <w:rPr/>
      </w:pPr>
      <w:r>
        <w:rPr>
          <w:b/>
          <w:bCs/>
          <w:color w:val="000000"/>
          <w:sz w:val="24"/>
          <w:szCs w:val="24"/>
        </w:rPr>
        <w:t>Перечень</w:t>
        <w:br/>
        <w:t>налоговых расходов Яльчикского муниципального округа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 w:eastAsia="zh-CN" w:bidi="ar-SA"/>
        </w:rPr>
        <w:t xml:space="preserve"> Чувашской Республики </w:t>
      </w:r>
    </w:p>
    <w:p>
      <w:pPr>
        <w:pStyle w:val="Normal"/>
        <w:numPr>
          <w:ilvl w:val="0"/>
          <w:numId w:val="0"/>
        </w:numPr>
        <w:ind w:left="0" w:right="0" w:hanging="0"/>
        <w:jc w:val="center"/>
        <w:rPr/>
      </w:pPr>
      <w:r>
        <w:rPr>
          <w:b/>
          <w:bCs/>
          <w:color w:val="000000"/>
          <w:sz w:val="24"/>
          <w:szCs w:val="24"/>
        </w:rPr>
        <w:t>на очередной финансовый год и плановый период</w:t>
      </w:r>
    </w:p>
    <w:p>
      <w:pPr>
        <w:pStyle w:val="Normal"/>
        <w:ind w:left="0" w:right="0" w:firstLine="720"/>
        <w:jc w:val="both"/>
        <w:rPr>
          <w:color w:val="000000"/>
          <w:sz w:val="24"/>
          <w:szCs w:val="24"/>
          <w:highlight w:val="yellow"/>
        </w:rPr>
      </w:pPr>
      <w:r>
        <w:rPr>
          <w:color w:val="000000"/>
          <w:sz w:val="24"/>
          <w:szCs w:val="24"/>
          <w:highlight w:val="yellow"/>
        </w:rPr>
      </w:r>
    </w:p>
    <w:tbl>
      <w:tblPr>
        <w:tblW w:w="15480" w:type="dxa"/>
        <w:jc w:val="left"/>
        <w:tblInd w:w="-57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305"/>
        <w:gridCol w:w="1305"/>
        <w:gridCol w:w="1305"/>
        <w:gridCol w:w="1305"/>
        <w:gridCol w:w="1469"/>
        <w:gridCol w:w="1591"/>
        <w:gridCol w:w="1424"/>
        <w:gridCol w:w="1983"/>
        <w:gridCol w:w="1980"/>
        <w:gridCol w:w="1361"/>
      </w:tblGrid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r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-108" w:right="-108" w:hanging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 xml:space="preserve">Наименование налогов, по которым предусматриваются налоговые льготы, освобождения и иные преференции, установленные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нормативным</w:t>
            </w:r>
            <w:r>
              <w:rPr>
                <w:color w:val="000000"/>
                <w:sz w:val="20"/>
                <w:szCs w:val="20"/>
              </w:rPr>
              <w:t xml:space="preserve">  правовым актом  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-108" w:right="-108" w:hanging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 xml:space="preserve">Наименование налоговых льгот, освобождений и иных налоговых преференций по налогам, установленных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нормативным</w:t>
            </w:r>
            <w:r>
              <w:rPr>
                <w:color w:val="000000"/>
                <w:sz w:val="20"/>
                <w:szCs w:val="20"/>
              </w:rPr>
              <w:t xml:space="preserve"> правовым актом 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-108" w:right="-108" w:hanging="0"/>
              <w:jc w:val="center"/>
              <w:rPr/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Нормативный</w:t>
            </w:r>
            <w:r>
              <w:rPr>
                <w:color w:val="000000"/>
                <w:sz w:val="20"/>
                <w:szCs w:val="20"/>
              </w:rPr>
              <w:t xml:space="preserve"> правовой акт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  <w:r>
              <w:rPr>
                <w:color w:val="000000"/>
                <w:sz w:val="20"/>
                <w:szCs w:val="20"/>
              </w:rPr>
              <w:t xml:space="preserve"> (статья, часть, пункт, абзац), предусматривающий налоговые льготы, освобождения и иные преференции по налогам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-108" w:right="-108" w:hanging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 xml:space="preserve">Категория получателей налоговых льгот, освобождений и иных налоговых преференций по налогам, установленных 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нормативным</w:t>
            </w:r>
            <w:r>
              <w:rPr>
                <w:color w:val="000000"/>
                <w:sz w:val="20"/>
                <w:szCs w:val="20"/>
              </w:rPr>
              <w:t xml:space="preserve"> правовым актом 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-108" w:right="-109" w:hanging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 xml:space="preserve">Условия предоставления плательщикам налогов налоговых льгот, освобождений и иных преференций по налогам, установленных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нормативным</w:t>
            </w:r>
            <w:r>
              <w:rPr>
                <w:color w:val="000000"/>
                <w:sz w:val="20"/>
                <w:szCs w:val="20"/>
              </w:rPr>
              <w:t xml:space="preserve"> правовым актом 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-107" w:right="-77" w:hanging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 xml:space="preserve">Дата начала действия предоставленного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нормативным</w:t>
            </w:r>
            <w:r>
              <w:rPr>
                <w:color w:val="000000"/>
                <w:sz w:val="20"/>
                <w:szCs w:val="20"/>
              </w:rPr>
              <w:t xml:space="preserve"> правовым актом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  <w:r>
              <w:rPr>
                <w:color w:val="000000"/>
                <w:sz w:val="20"/>
                <w:szCs w:val="20"/>
              </w:rPr>
              <w:t xml:space="preserve"> права на налоговые льготы, освобождения и иные преференции по налогам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-108" w:right="-108" w:hanging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 xml:space="preserve">Дата прекращения действия налоговых льгот, освобождений и иных преференций по налогам, установленных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нормативным</w:t>
            </w:r>
            <w:r>
              <w:rPr>
                <w:color w:val="000000"/>
                <w:sz w:val="20"/>
                <w:szCs w:val="20"/>
              </w:rPr>
              <w:t xml:space="preserve"> правовым актом 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-108" w:right="-106" w:hanging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Наименование муниципальной программы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  <w:r>
              <w:rPr>
                <w:color w:val="000000"/>
                <w:sz w:val="20"/>
                <w:szCs w:val="20"/>
              </w:rPr>
              <w:t xml:space="preserve">, наименование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нормативных</w:t>
            </w:r>
            <w:r>
              <w:rPr>
                <w:color w:val="000000"/>
                <w:sz w:val="20"/>
                <w:szCs w:val="20"/>
              </w:rPr>
              <w:t xml:space="preserve"> правовых актов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  <w:r>
              <w:rPr>
                <w:color w:val="000000"/>
                <w:sz w:val="20"/>
                <w:szCs w:val="20"/>
              </w:rPr>
              <w:t>, определяющих цели социально-экономического развития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  <w:r>
              <w:rPr>
                <w:color w:val="000000"/>
                <w:sz w:val="20"/>
                <w:szCs w:val="20"/>
              </w:rPr>
              <w:t>, не относящиеся к муниципальным программам 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-110" w:right="-123" w:hanging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Показатель (индикатор) достижения целей муниципальных программ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  <w:r>
              <w:rPr>
                <w:color w:val="000000"/>
                <w:sz w:val="20"/>
                <w:szCs w:val="20"/>
              </w:rPr>
              <w:t xml:space="preserve"> и (или) целей социально-экономического развития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  <w:r>
              <w:rPr>
                <w:color w:val="000000"/>
                <w:sz w:val="20"/>
                <w:szCs w:val="20"/>
              </w:rPr>
              <w:t>, не относящихся к муниципальным программам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  <w:r>
              <w:rPr>
                <w:color w:val="000000"/>
                <w:sz w:val="20"/>
                <w:szCs w:val="20"/>
              </w:rPr>
              <w:t>, в связи с предоставлением налоговых льгот, освобождений и иных преференций по налогам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Куратор налогового расхода  Яльчикского муниципального округа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val="ru-RU" w:eastAsia="zh-CN" w:bidi="ar-SA"/>
              </w:rPr>
              <w:t xml:space="preserve"> Чувашской Республики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</w:tr>
    </w:tbl>
    <w:p>
      <w:pPr>
        <w:pStyle w:val="Normal"/>
        <w:ind w:left="0" w:right="0" w:firstLine="720"/>
        <w:jc w:val="both"/>
        <w:rPr/>
      </w:pPr>
      <w:r>
        <w:rPr/>
      </w:r>
    </w:p>
    <w:sectPr>
      <w:headerReference w:type="default" r:id="rId5"/>
      <w:footerReference w:type="default" r:id="rId6"/>
      <w:type w:val="nextPage"/>
      <w:pgSz w:orient="landscape" w:w="16838" w:h="11906"/>
      <w:pgMar w:left="1440" w:right="1440" w:header="0" w:top="1418" w:footer="0" w:bottom="573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 Cyr Chuv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altName w:val="serif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9"/>
      <w:spacing w:lineRule="auto" w:line="240" w:before="0" w:after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spacing w:lineRule="auto" w:line="240" w:before="0" w:after="0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933c9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7200b8"/>
    <w:pPr>
      <w:keepNext w:val="true"/>
      <w:jc w:val="center"/>
      <w:outlineLvl w:val="0"/>
    </w:pPr>
    <w:rPr>
      <w:rFonts w:ascii="Arial Cyr Chuv" w:hAnsi="Arial Cyr Chuv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Цветовое выделение"/>
    <w:qFormat/>
    <w:rsid w:val="001933c9"/>
    <w:rPr>
      <w:b/>
      <w:bCs/>
      <w:color w:val="000080"/>
    </w:rPr>
  </w:style>
  <w:style w:type="character" w:styleId="Style14" w:customStyle="1">
    <w:name w:val="Основной текст с отступом Знак"/>
    <w:basedOn w:val="DefaultParagraphFont"/>
    <w:qFormat/>
    <w:rsid w:val="001933c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1933c9"/>
    <w:rPr>
      <w:rFonts w:ascii="Tahoma" w:hAnsi="Tahoma" w:eastAsia="Times New Roman" w:cs="Tahoma"/>
      <w:sz w:val="16"/>
      <w:szCs w:val="16"/>
      <w:lang w:eastAsia="ru-RU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930d25"/>
    <w:rPr>
      <w:rFonts w:ascii="Calibri" w:hAnsi="Calibri" w:eastAsia="Calibri" w:cs="Times New Roman"/>
    </w:rPr>
  </w:style>
  <w:style w:type="character" w:styleId="Style17" w:customStyle="1">
    <w:name w:val="Нижний колонтитул Знак"/>
    <w:basedOn w:val="DefaultParagraphFont"/>
    <w:uiPriority w:val="99"/>
    <w:qFormat/>
    <w:rsid w:val="00930d25"/>
    <w:rPr>
      <w:rFonts w:ascii="Calibri" w:hAnsi="Calibri" w:eastAsia="Calibri" w:cs="Times New Roman"/>
    </w:rPr>
  </w:style>
  <w:style w:type="character" w:styleId="Pagenumber">
    <w:name w:val="page number"/>
    <w:uiPriority w:val="99"/>
    <w:qFormat/>
    <w:rsid w:val="00930d25"/>
    <w:rPr>
      <w:rFonts w:cs="Times New Roman"/>
    </w:rPr>
  </w:style>
  <w:style w:type="character" w:styleId="11" w:customStyle="1">
    <w:name w:val="Заголовок 1 Знак"/>
    <w:basedOn w:val="DefaultParagraphFont"/>
    <w:link w:val="Heading1"/>
    <w:qFormat/>
    <w:rsid w:val="007200b8"/>
    <w:rPr>
      <w:rFonts w:ascii="Arial Cyr Chuv" w:hAnsi="Arial Cyr Chuv" w:eastAsia="Times New Roman" w:cs="Times New Roman"/>
      <w:sz w:val="28"/>
      <w:szCs w:val="24"/>
      <w:lang w:eastAsia="ru-RU"/>
    </w:rPr>
  </w:style>
  <w:style w:type="character" w:styleId="Style18" w:customStyle="1">
    <w:name w:val="Интернет-ссылка"/>
    <w:rsid w:val="00e63b98"/>
    <w:rPr>
      <w:color w:val="000080"/>
      <w:u w:val="single"/>
    </w:rPr>
  </w:style>
  <w:style w:type="character" w:styleId="Style19">
    <w:name w:val="Посещённая гиперссылка"/>
    <w:rPr>
      <w:color w:val="800000"/>
      <w:u w:val="single"/>
      <w:lang w:val="zxx" w:eastAsia="zxx" w:bidi="zxx"/>
    </w:rPr>
  </w:style>
  <w:style w:type="paragraph" w:styleId="Style20" w:customStyle="1">
    <w:name w:val="Заголовок"/>
    <w:basedOn w:val="Normal"/>
    <w:next w:val="Style21"/>
    <w:qFormat/>
    <w:rsid w:val="00e63b9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rsid w:val="00e63b98"/>
    <w:pPr>
      <w:spacing w:lineRule="auto" w:line="276" w:before="0" w:after="140"/>
    </w:pPr>
    <w:rPr/>
  </w:style>
  <w:style w:type="paragraph" w:styleId="Style22">
    <w:name w:val="List"/>
    <w:basedOn w:val="Style21"/>
    <w:rsid w:val="00e63b98"/>
    <w:pPr/>
    <w:rPr>
      <w:rFonts w:cs="Arial"/>
    </w:rPr>
  </w:style>
  <w:style w:type="paragraph" w:styleId="Style23" w:customStyle="1">
    <w:name w:val="Caption"/>
    <w:basedOn w:val="Normal"/>
    <w:qFormat/>
    <w:rsid w:val="00e63b98"/>
    <w:pPr>
      <w:suppressLineNumbers/>
      <w:spacing w:before="120" w:after="120"/>
    </w:pPr>
    <w:rPr>
      <w:rFonts w:cs="Arial"/>
      <w:i/>
      <w:iCs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e63b98"/>
    <w:pPr>
      <w:suppressLineNumbers/>
    </w:pPr>
    <w:rPr>
      <w:rFonts w:cs="Arial"/>
    </w:rPr>
  </w:style>
  <w:style w:type="paragraph" w:styleId="Style25" w:customStyle="1">
    <w:name w:val="Таблицы (моноширинный)"/>
    <w:basedOn w:val="Normal"/>
    <w:next w:val="Normal"/>
    <w:qFormat/>
    <w:rsid w:val="001933c9"/>
    <w:pPr>
      <w:jc w:val="both"/>
    </w:pPr>
    <w:rPr>
      <w:rFonts w:ascii="Courier New" w:hAnsi="Courier New" w:cs="Courier New"/>
      <w:sz w:val="20"/>
      <w:szCs w:val="20"/>
    </w:rPr>
  </w:style>
  <w:style w:type="paragraph" w:styleId="Style26">
    <w:name w:val="Body Text Indent"/>
    <w:basedOn w:val="Normal"/>
    <w:rsid w:val="001933c9"/>
    <w:pPr>
      <w:suppressAutoHyphens w:val="true"/>
      <w:ind w:firstLine="720"/>
      <w:jc w:val="both"/>
    </w:pPr>
    <w:rPr>
      <w:sz w:val="28"/>
      <w:szCs w:val="20"/>
    </w:rPr>
  </w:style>
  <w:style w:type="paragraph" w:styleId="BalloonText">
    <w:name w:val="Balloon Text"/>
    <w:basedOn w:val="Normal"/>
    <w:uiPriority w:val="99"/>
    <w:semiHidden/>
    <w:unhideWhenUsed/>
    <w:qFormat/>
    <w:rsid w:val="001933c9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aa5d83"/>
    <w:pPr>
      <w:widowControl w:val="fals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4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e97235"/>
    <w:pPr>
      <w:spacing w:before="0" w:after="0"/>
      <w:ind w:left="720" w:hanging="0"/>
      <w:contextualSpacing/>
    </w:pPr>
    <w:rPr/>
  </w:style>
  <w:style w:type="paragraph" w:styleId="Style27" w:customStyle="1">
    <w:name w:val="Верхний и нижний колонтитулы"/>
    <w:basedOn w:val="Normal"/>
    <w:qFormat/>
    <w:rsid w:val="00e63b98"/>
    <w:pPr/>
    <w:rPr/>
  </w:style>
  <w:style w:type="paragraph" w:styleId="Style28" w:customStyle="1">
    <w:name w:val="Header"/>
    <w:basedOn w:val="Normal"/>
    <w:uiPriority w:val="99"/>
    <w:unhideWhenUsed/>
    <w:rsid w:val="00930d25"/>
    <w:pPr>
      <w:tabs>
        <w:tab w:val="clear" w:pos="720"/>
        <w:tab w:val="center" w:pos="4677" w:leader="none"/>
        <w:tab w:val="right" w:pos="9355" w:leader="none"/>
      </w:tabs>
      <w:spacing w:lineRule="auto" w:line="259" w:before="0" w:after="160"/>
    </w:pPr>
    <w:rPr>
      <w:rFonts w:ascii="Calibri" w:hAnsi="Calibri" w:eastAsia="Calibri"/>
      <w:sz w:val="22"/>
      <w:szCs w:val="22"/>
      <w:lang w:eastAsia="en-US"/>
    </w:rPr>
  </w:style>
  <w:style w:type="paragraph" w:styleId="Style29" w:customStyle="1">
    <w:name w:val="Footer"/>
    <w:basedOn w:val="Normal"/>
    <w:uiPriority w:val="99"/>
    <w:unhideWhenUsed/>
    <w:rsid w:val="00930d25"/>
    <w:pPr>
      <w:tabs>
        <w:tab w:val="clear" w:pos="720"/>
        <w:tab w:val="center" w:pos="4677" w:leader="none"/>
        <w:tab w:val="right" w:pos="9355" w:leader="none"/>
      </w:tabs>
      <w:spacing w:lineRule="auto" w:line="259" w:before="0" w:after="160"/>
    </w:pPr>
    <w:rPr>
      <w:rFonts w:ascii="Calibri" w:hAnsi="Calibri" w:eastAsia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223d5e"/>
    <w:pPr>
      <w:widowControl/>
      <w:bidi w:val="0"/>
      <w:spacing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unhideWhenUsed/>
    <w:rsid w:val="00ef5fb2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13F3E-605B-4D4F-8154-796A63FF8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Application>LibreOffice/6.3.4.2$Windows_x86 LibreOffice_project/60da17e045e08f1793c57c00ba83cdfce946d0aa</Application>
  <Pages>5</Pages>
  <Words>1213</Words>
  <Characters>9725</Characters>
  <CharactersWithSpaces>10965</CharactersWithSpaces>
  <Paragraphs>72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2023-05-23T14:37:00Z</dcterms:created>
  <dc:creator>Надежда Макарова</dc:creator>
  <dc:description/>
  <dc:language>ru-RU</dc:language>
  <cp:lastModifiedBy/>
  <cp:lastPrinted>2023-05-30T15:41:00Z</cp:lastPrinted>
  <dcterms:modified xsi:type="dcterms:W3CDTF">2023-12-13T08:55:57Z</dcterms:modified>
  <cp:revision>108</cp:revision>
  <dc:subject/>
  <dc:title>Постановление Правительства РФ от 31.08.2016 N 868(ред. от 24.03.2023)"О порядке формирования и ведения перечня источников доходов Российской Федерации"(вместе с "Правилами формирования и ведения перечня источников доходов Российской Федерации", "Общими требованиями к составу информации, порядку формирования и ведения реестра источников доходов Российской Федерации, реестра источников доходов федерального бюджета, реестров источников доходов бюджетов субъектов Российской Федерации, реестров источников до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КонсультантПлюс Версия 4022.00.55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