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rPr>
                <w:b/>
                <w:bCs/>
              </w:rPr>
              <w:t xml:space="preserve">КАРТА-ПЛАН ТЕРРИТОРИИ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rPr>
                <w:b/>
                <w:bCs/>
              </w:rPr>
              <w:t xml:space="preserve">Пояснительная записка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5"/>
              <w:spacing w:before="0" w:beforeAutospacing="0" w:after="0" w:afterAutospacing="0"/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Сведения о территории выполнения комплексных кадастровых работ: </w:t>
            </w:r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 xml:space="preserve"> 21:14:090102 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35"/>
              <w:spacing w:before="0" w:beforeAutospacing="0" w:after="0" w:afterAutospacing="0"/>
              <w:shd w:val="clear" w:color="auto" w:fill="ffffff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(наименование субъекта Российской Федерации, муниципального образования, населенного пункта, уникальные учетные номера кадастровых кварталов, иные све</w:t>
            </w:r>
            <w:r>
              <w:rPr>
                <w:rFonts w:ascii="Arial" w:hAnsi="Arial" w:cs="Arial"/>
                <w:sz w:val="20"/>
                <w:szCs w:val="20"/>
              </w:rPr>
              <w:t xml:space="preserve">дения, позволяющие определить местоположение территории, на которой выполняются комплексные кадастровые работы, например, наименование садоводческого или огороднического некоммерческого товарищества, гаражного кооператива, элемента планировочной структуры)</w:t>
            </w:r>
            <w:r>
              <w:rPr>
                <w:rFonts w:ascii="Arial" w:hAnsi="Arial" w:cs="Arial"/>
                <w:color w:val="44444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5"/>
              <w:spacing w:before="0" w:beforeAutospacing="0" w:after="0" w:afterAutospacing="0"/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Основания выполнения комплексных кадастровых работ: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pStyle w:val="735"/>
              <w:spacing w:before="0" w:beforeAutospacing="0" w:after="0" w:afterAutospacing="0"/>
              <w:shd w:val="clear" w:color="auto" w:fill="ffffff"/>
            </w:pPr>
            <w:r>
              <w:rPr>
                <w:rFonts w:ascii="Arial" w:hAnsi="Arial" w:cs="Arial"/>
                <w:sz w:val="20"/>
                <w:szCs w:val="20"/>
              </w:rPr>
              <w:t xml:space="preserve">Наименование, дата и номер документа, на основании которого выполняются комплексные кадастровые работы: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Соглашение о предоставлении из федерального бюджета субсидий , в том числе грантов в форме субсидий, юридическим лицам, индивидуальным предпринимателям, а также физическим лицам, 30.01.2025, №321-20-2025-002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rPr>
                <w:b/>
                <w:bCs/>
              </w:rPr>
              <w:t xml:space="preserve">3. </w:t>
            </w:r>
            <w:r>
              <w:rPr>
                <w:b/>
                <w:bCs/>
              </w:rPr>
              <w:t xml:space="preserve">Дата подготовки карты-плана территории</w:t>
            </w:r>
            <w:r>
              <w:t xml:space="preserve">: </w:t>
            </w:r>
            <w:r>
              <w:t xml:space="preserve"> "</w:t>
            </w:r>
            <w:r>
              <w:rPr>
                <w:u w:val="single"/>
              </w:rPr>
              <w:t xml:space="preserve">03</w:t>
            </w:r>
            <w:r>
              <w:t xml:space="preserve">" </w:t>
            </w:r>
            <w:r>
              <w:rPr>
                <w:b/>
                <w:u w:val="single"/>
              </w:rPr>
              <w:t xml:space="preserve"> </w:t>
            </w:r>
            <w:r>
              <w:rPr>
                <w:u w:val="single"/>
              </w:rPr>
              <w:t xml:space="preserve">06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>
              <w:rPr>
                <w:b/>
                <w:u w:val="single"/>
              </w:rPr>
              <w:t xml:space="preserve"> </w:t>
            </w:r>
            <w:r>
              <w:rPr>
                <w:u w:val="single"/>
              </w:rPr>
              <w:t xml:space="preserve">2025</w:t>
            </w:r>
            <w:r>
              <w:rPr>
                <w:b/>
                <w:u w:val="single"/>
              </w:rPr>
              <w:t xml:space="preserve"> </w:t>
            </w:r>
            <w:r>
              <w:t xml:space="preserve"> г.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outlineLvl w:val="1"/>
            </w:pPr>
            <w:r/>
            <w:bookmarkStart w:id="0" w:name="Par43"/>
            <w:r/>
            <w:bookmarkEnd w:id="0"/>
            <w:r>
              <w:rPr>
                <w:b/>
                <w:bCs/>
                <w:shd w:val="clear" w:color="auto" w:fill="ffffff"/>
              </w:rPr>
              <w:t xml:space="preserve">4. Сведения о заказчике(ах) комплексных кадастровых работ: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outlineLvl w:val="2"/>
            </w:pPr>
            <w:r/>
            <w:bookmarkStart w:id="1" w:name="Par44"/>
            <w:r/>
            <w:bookmarkEnd w:id="1"/>
            <w:r>
              <w:rPr>
                <w:shd w:val="clear" w:color="auto" w:fill="ffffff"/>
              </w:rPr>
              <w:t xml:space="preserve">В отношении юридического лица, органа местного самоуправления муниципального района, муниципального округа или городского округа либо уполномоченного исполнительного органа государственной власти субъекта Российской Федерации: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6"/>
            </w:pPr>
            <w:r>
              <w:rPr>
                <w:rFonts w:ascii="Arial" w:hAnsi="Arial" w:cs="Arial"/>
                <w:sz w:val="20"/>
                <w:shd w:val="clear" w:color="auto" w:fill="ffffff"/>
              </w:rPr>
              <w:t xml:space="preserve">    </w:t>
            </w:r>
            <w:r>
              <w:rPr>
                <w:rFonts w:ascii="Arial" w:hAnsi="Arial" w:cs="Arial"/>
                <w:sz w:val="20"/>
                <w:shd w:val="clear" w:color="auto" w:fill="ffffff"/>
              </w:rPr>
              <w:t xml:space="preserve">полное или сокращенное (в случае, если имеется) наименование</w:t>
            </w:r>
            <w:r>
              <w:rPr>
                <w:rFonts w:ascii="Arial" w:hAnsi="Arial" w:cs="Arial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 xml:space="preserve">Управление Федеральной службы государственной регистрации, кдастра и картографии по Чувашской Республике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rPr>
                <w:shd w:val="clear" w:color="auto" w:fill="ffffff"/>
              </w:rPr>
              <w:t xml:space="preserve">    </w:t>
            </w:r>
            <w:r>
              <w:rPr>
                <w:shd w:val="clear" w:color="auto" w:fill="ffffff"/>
              </w:rPr>
              <w:t xml:space="preserve">основной государственный регистрационный номер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1042129023936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    </w:t>
            </w:r>
            <w:r>
              <w:t xml:space="preserve">идентификационный номер налогоплательщика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2129056028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rPr>
                <w:shd w:val="clear" w:color="auto" w:fill="ffffff"/>
              </w:rPr>
              <w:t xml:space="preserve">В отношении физического лица или представителя физических или юридических лиц: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rPr>
                <w:shd w:val="clear" w:color="auto" w:fill="ffffff"/>
              </w:rPr>
            </w:pPr>
            <w:r>
              <w:t xml:space="preserve">    </w:t>
            </w:r>
            <w:r>
              <w:t xml:space="preserve">фамилия, имя, отчество (последнее - при наличии)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- </w:t>
            </w:r>
            <w:r>
              <w:rPr>
                <w:shd w:val="clear" w:color="auto" w:fill="ffffff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    </w:t>
            </w:r>
            <w:r>
              <w:t xml:space="preserve">страховой номер индивидуального</w:t>
            </w:r>
            <w:r>
              <w:t xml:space="preserve"> лицевого счета в системе обязательного пенсионного страхования Российской Федерации (СНИЛС)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- 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Наименование и реквизиты документа, подтверждающие полномочия представителя заказчик</w:t>
            </w:r>
            <w:r>
              <w:t xml:space="preserve">а(</w:t>
            </w:r>
            <w:r>
              <w:t xml:space="preserve">ов</w:t>
            </w:r>
            <w:r>
              <w:t xml:space="preserve">) комплексных кадастровых работ:</w:t>
            </w:r>
            <w:r>
              <w:t xml:space="preserve"> </w:t>
            </w:r>
            <w:r>
              <w:rPr>
                <w:u w:val="single"/>
              </w:rPr>
              <w:t xml:space="preserve">  - 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Адрес электронной почты (для направления уведомления о результатах внесения сведений в Единый государственный реестр недвижимости):</w:t>
            </w:r>
            <w:r>
              <w:t xml:space="preserve"> </w:t>
            </w:r>
            <w:r>
              <w:rPr>
                <w:u w:val="single"/>
              </w:rPr>
              <w:t xml:space="preserve"> 21_upr@rosreestr.ru</w:t>
            </w:r>
            <w:r>
              <w:t xml:space="preserve">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outlineLvl w:val="1"/>
            </w:pPr>
            <w:r/>
            <w:bookmarkStart w:id="2" w:name="Par49"/>
            <w:r/>
            <w:bookmarkEnd w:id="2"/>
            <w:r>
              <w:rPr>
                <w:b/>
                <w:bCs/>
                <w:shd w:val="clear" w:color="auto" w:fill="ffffff"/>
              </w:rPr>
              <w:t xml:space="preserve">5. Сведения об исполнителе комплексных кадастровых работ:</w:t>
            </w:r>
            <w:r>
              <w:t xml:space="preserve"> </w:t>
            </w:r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Полное или сокращенное (в случае, если имеется) наименование и адрес юридического лица, с которым заключен государственный или муниципальный контракт либо договор подряда на выполнение комплексных кадастровых работ:</w:t>
            </w:r>
            <w:r>
              <w:t xml:space="preserve"> </w:t>
            </w:r>
            <w:r>
              <w:rPr>
                <w:u w:val="single"/>
              </w:rPr>
              <w:t xml:space="preserve"> Филиал ППК "Роскадастр" по Чувашской Республике - Чувашии, 428017, г. Чебоксары, Московский пр-т, д. 37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Фамилия, имя, отчество </w:t>
            </w:r>
            <w:r>
              <w:t xml:space="preserve">кадастрового инженера </w:t>
            </w:r>
            <w:r>
              <w:t xml:space="preserve">(последнее - при наличии)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Казакова Наталия Владимировна</w:t>
            </w:r>
            <w:r>
              <w:t xml:space="preserve">  и основной государственный регистрационный номер кадастрового инженера индивидуального предпринимателя (ОГРНИП):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u w:val="single"/>
              </w:rPr>
              <w:t xml:space="preserve"> -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Страховой номер индивидуального лицевого счета в системе обязательного пенсионного страхован</w:t>
            </w:r>
            <w:r>
              <w:t xml:space="preserve">ия Российской Федерации (СНИЛС) кадастрового инженера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15584669616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Уникальный реестровый номер </w:t>
            </w:r>
            <w:r>
              <w:t xml:space="preserve">кадастрового инженера </w:t>
            </w:r>
            <w:r>
              <w:t xml:space="preserve">в реестре саморегулируемой организации кадастровых инженеров и дата внесения сведений о физическом лице в такой реестр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21-14-49, 22.07.2016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Полное или (в случае, если имеется) </w:t>
            </w:r>
            <w:r>
              <w:t xml:space="preserve">сокращенное наименование саморегулируемой организации кадастровых инженеров, членом которой является кадастровый инженер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u w:val="single"/>
              </w:rPr>
              <w:t xml:space="preserve">Саморегулируемая организация "Ассоциация кадастровых инженеров Поволжья"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Контактный телефон:</w:t>
            </w:r>
            <w:r>
              <w:t xml:space="preserve"> </w:t>
            </w:r>
            <w:r>
              <w:rPr>
                <w:u w:val="single"/>
              </w:rPr>
              <w:t xml:space="preserve">+79991997717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>
              <w:t xml:space="preserve">Почтовый адрес и а</w:t>
            </w:r>
            <w:r>
              <w:t xml:space="preserve">дрес электронной почты</w:t>
            </w:r>
            <w:r>
              <w:t xml:space="preserve">, по которым осуществляется связь с кадастровым инженером:</w:t>
            </w:r>
            <w:r>
              <w:t xml:space="preserve"> </w:t>
            </w:r>
            <w:r>
              <w:rPr>
                <w:u w:val="single"/>
              </w:rPr>
              <w:t xml:space="preserve">428003, г. Чебоксары, пр-т Ленина, д. 3, кв. 9, n.v.kazakova@internet.ru</w:t>
            </w:r>
            <w:bookmarkStart w:id="0" w:name="_GoBack"/>
            <w:r/>
            <w:bookmarkEnd w:id="0"/>
            <w:r/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1276"/>
        <w:gridCol w:w="1559"/>
        <w:gridCol w:w="2268"/>
        <w:gridCol w:w="2438"/>
      </w:tblGrid>
      <w:tr>
        <w:tblPrEx/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rPr>
                <w:b/>
              </w:rPr>
              <w:outlineLvl w:val="2"/>
            </w:pPr>
            <w:r>
              <w:rPr>
                <w:b/>
              </w:rPr>
              <w:t xml:space="preserve">6. Перечень документов, использованных при подготовке карты-плана территории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N п/п</w:t>
            </w:r>
            <w:r/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Реквизиты документа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Вид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Дата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Номер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Наименование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Иные сведения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6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1</w:t>
            </w:r>
            <w:bookmarkStart w:id="0" w:name="_GoBack"/>
            <w:r/>
            <w:bookmarkEnd w:id="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30.01.2025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321-20-2025-002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Соглашение о предоставлении из федерального бюджета субсидий , в том числе грантов в форме субсидий, юридическим лицам, индивидуальным предпринимателям, а также физическим лицам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2</w:t>
            </w:r>
            <w:bookmarkStart w:id="0" w:name="_GoBack"/>
            <w:r/>
            <w:bookmarkEnd w:id="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21.05.2025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КУВИ-001/2025-109601527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Кадастровый план территории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3</w:t>
            </w:r>
            <w:bookmarkStart w:id="0" w:name="_GoBack"/>
            <w:r/>
            <w:bookmarkEnd w:id="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б/н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Схема границ земельных участков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4</w:t>
            </w:r>
            <w:bookmarkStart w:id="0" w:name="_GoBack"/>
            <w:r/>
            <w:bookmarkEnd w:id="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01.01.2023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б/н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Урало-Сибирская гео-информационная компания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8" w:type="dxa"/>
            <w:textDirection w:val="lrTb"/>
            <w:noWrap w:val="false"/>
          </w:tcPr>
          <w:p>
            <w:pPr>
              <w:pStyle w:val="734"/>
              <w:jc w:val="center"/>
            </w:pPr>
            <w:r/>
            <w:r/>
          </w:p>
          <w:p>
            <w:r>
              <w:t xml:space="preserve"> - </w:t>
            </w:r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rPr>
                <w:b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</w:rPr>
              <w:t xml:space="preserve">7. Пояснения к карте-плану территории</w:t>
            </w:r>
            <w:r>
              <w:rPr>
                <w:b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</w:pPr>
            <w:r/>
            <w:bookmarkStart w:id="0" w:name="Par70"/>
            <w:r/>
            <w:bookmarkEnd w:id="0"/>
            <w:r>
              <w:t xml:space="preserve">    1. На территории кадастрового квартала 21:14:090102 Филиалом </w:t>
            </w:r>
            <w:r>
              <w:t xml:space="preserve">ППК «Роскадастр» по Чувашской Республике - Чувашии 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№ 321-20-2</w:t>
            </w:r>
            <w:r>
              <w:t xml:space="preserve">025-002 от 30.01.2025 г. выполняются комплексные кадастровые работы. В соответствии с ч.1 ст.42.1 Федерального закона от 24.07.2007 № 221-ФЗ «О кадастровой деятельности» под комплексными кадастровыми работами (далее – ККР) понимаются кадастровые работы, ко</w:t>
            </w:r>
            <w:r>
              <w:t xml:space="preserve">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кварталов. Из п.1 ч.6 ст.42.1 Федерального закона от 24.07.2007 № 221-ФЗ «О кадастровой деятельности» сл</w:t>
            </w:r>
            <w:r>
              <w:t xml:space="preserve">едует, что образование земельных участков, занятых площадями, улицами, проездами, набережными, скверами, бульварами, водными объектами общего пользования и другими объектами (территориями) общего пользования, и земельных участков, на которых расположены мн</w:t>
            </w:r>
            <w:r>
              <w:t xml:space="preserve">огоквартирные дома, в рамках проведения ККР, допускается исключительно в случае, если образование таких земель предусмотрено проектом межевания территории (далее – ПМТ), утвержденном в порядке, установленном законодательством о градостроительной деятельнос</w:t>
            </w:r>
            <w:r>
              <w:t xml:space="preserve">ти. Таким образом, учитывая положения п.1 ч.6 ст.42.1 Федерального закона от 24.07.2007 №221-ФЗ «О кадастровой деятельности», так как на территории квартала 21:14:090102 отсутствует утвержденный ПМТ, то работы по образованию земельных участков не проводили</w:t>
            </w:r>
            <w:r>
              <w:t xml:space="preserve">сь. Границы земельных участков установлены с учетом их фактического использования. Работы проводились картографическим методом. Для ориентации в целях определения границ на местности использовались картографические материалы, созданные Урало-Сибирской Гео-</w:t>
            </w:r>
            <w:r>
              <w:t xml:space="preserve">Информационной компанией с помощью беспилотного летательного аппарата. При выполнении ККР площадь уточняемых земельных участков определялась с учетом требований законодательства. Фактическая площадь земельного участка, не должна быть больше площади, сведен</w:t>
            </w:r>
            <w:r>
              <w:t xml:space="preserve">ия о которой относительно этого земельного участка содержатся в Едином государственном реестре недвижимости, более чем на величину предельного минимального размера земельного участка, установленного в соответствии с федеральным законом для земель соответст</w:t>
            </w:r>
            <w:r>
              <w:t xml:space="preserve">вующего целевого назначения и разрешенного использования. Фактическая площадь земельного участка не должна быть меньше площади земельного участка, сведения о которой относительно этого земельного участка содержатся в Едином государственном реестре недвижим</w:t>
            </w:r>
            <w:r>
              <w:t xml:space="preserve">ости, более чем на десять процентов (в случае получения значения площади земельного участка, которое меньше значения площади земельного участка, сведения о которой относительно этого земельного участка содержатся в Едином государственном реестре недвижимос</w:t>
            </w:r>
            <w:r>
              <w:t xml:space="preserve">ти, более чем на десять процентов, требуется письменное согласие правообладателя такого земельного участка). В соответствии с Правилами землепользования и застройки Крсноармейского муниципального округа предельные минимальные и максимальные размеры для вид</w:t>
            </w:r>
            <w:r>
              <w:t xml:space="preserve">а разрешенного использования «Для ведения личного подсобного хозяйства» установлены предельные минимальные- 200 и максимальные- 10000, размеры установлены в кадастровом квартале 21:14:090102, в границах которого располагается с/пос. Красноармейское, д. Вас</w:t>
            </w:r>
            <w:r>
              <w:t xml:space="preserve">нары, Красноармейского района. </w:t>
              <w:br/>
              <w:t xml:space="preserve">Согласно сведениям ЕГРН расположено 58 объектов, из них 31 земельный участок и 27 объектов капитального строительства. Из 31 земельного участка 13 земельных участков стоят на кадастровом учете (имеют координаты поворотных то</w:t>
            </w:r>
            <w:r>
              <w:t xml:space="preserve">чек границ). В результате выполнения комплексных кадастровых работ было произведено: - уточнение местоположения границ 18 участков, т.к. сведения ЕГРН о данных земельных участках не соответствуют установленным на основании Федерального закона от 13.07.2015</w:t>
            </w:r>
            <w:r>
              <w:t xml:space="preserve">г. №218-ФЗ требованиям к описанию местоположения границ земельных участков: - 3 земельных участка стоят на кадастровом учете со смещением относительно их фактического местоположения. В результате исправления реестровой ошибки конфигурация и площадь земельн</w:t>
            </w:r>
            <w:r>
              <w:t xml:space="preserve">ых участков не изменились: </w:t>
              <w:br/>
              <w:t xml:space="preserve">21:14:090102:7, 21:14:090102:4, 21:14:090102:12. В результате выполнения комплексных кадастровых работ было выявлено, что земельные участки с кадастровыми номерами 21:14:090102:29, 21:14:090102:30, 21:14:090102:31 фактически исп</w:t>
            </w:r>
            <w:r>
              <w:t xml:space="preserve">ользуют больше, чем по сведениям ЕГРН. В отношении 19 объектов капитального строительства выполнены работы по установлению местоположения границ, 6 объектов капитального строительства, стоят на кадастровом учете (имеют координаты поворотных точек границ). </w:t>
            </w:r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1275"/>
        <w:gridCol w:w="1276"/>
        <w:gridCol w:w="851"/>
        <w:gridCol w:w="992"/>
        <w:gridCol w:w="1134"/>
        <w:gridCol w:w="1134"/>
        <w:gridCol w:w="1020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rPr>
                <w:b/>
              </w:rPr>
            </w:pPr>
            <w:r/>
            <w:bookmarkStart w:id="0" w:name="Par70"/>
            <w:r/>
            <w:bookmarkEnd w:id="0"/>
            <w:r>
              <w:rPr>
                <w:b/>
              </w:rPr>
              <w:t xml:space="preserve">Сведения о пунктах геодезической сети и средствах измерений</w:t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rPr>
                <w:b/>
              </w:rPr>
            </w:pPr>
            <w:r>
              <w:rPr>
                <w:b/>
              </w:rPr>
              <w:t xml:space="preserve">1.</w:t>
            </w:r>
            <w:r>
              <w:rPr>
                <w:b/>
              </w:rPr>
              <w:t xml:space="preserve"> Сведения о пунктах геодезической сети: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N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Вид </w:t>
            </w:r>
            <w:r>
              <w:t xml:space="preserve">геоде</w:t>
            </w:r>
            <w:r>
              <w:t xml:space="preserve">-</w:t>
            </w:r>
            <w:r/>
          </w:p>
          <w:p>
            <w:pPr>
              <w:pStyle w:val="734"/>
              <w:jc w:val="center"/>
            </w:pPr>
            <w:r>
              <w:t xml:space="preserve">зической</w:t>
            </w:r>
            <w:r>
              <w:t xml:space="preserve"> сети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Название пункта геодезической сети и тип знака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Система координат пункта</w:t>
            </w:r>
            <w:r>
              <w:t xml:space="preserve"> </w:t>
            </w:r>
            <w:r>
              <w:t xml:space="preserve">геодези</w:t>
            </w:r>
            <w:r>
              <w:t xml:space="preserve">-</w:t>
            </w:r>
            <w:r/>
          </w:p>
          <w:p>
            <w:pPr>
              <w:pStyle w:val="734"/>
              <w:jc w:val="center"/>
            </w:pPr>
            <w:r>
              <w:t xml:space="preserve">ческой сети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Координаты</w:t>
            </w:r>
            <w:r>
              <w:t xml:space="preserve"> пункта</w:t>
            </w:r>
            <w:r>
              <w:t xml:space="preserve">, м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Дата обследования</w:t>
            </w:r>
            <w:r/>
          </w:p>
          <w:p>
            <w:pPr>
              <w:pStyle w:val="734"/>
              <w:jc w:val="center"/>
            </w:pPr>
            <w:r>
              <w:t xml:space="preserve"> "</w:t>
            </w:r>
            <w:r>
              <w:t xml:space="preserve"> </w:t>
            </w:r>
            <w:r>
              <w:rPr>
                <w:u w:val="single"/>
              </w:rPr>
              <w:t xml:space="preserve">#DD#</w:t>
            </w:r>
            <w:r>
              <w:t xml:space="preserve"> </w:t>
            </w:r>
            <w:r>
              <w:t xml:space="preserve">"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#MM#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#YYYY#</w:t>
            </w:r>
            <w:r>
              <w:rPr>
                <w:u w:val="single"/>
              </w:rPr>
              <w:t xml:space="preserve"> </w:t>
            </w:r>
            <w:r>
              <w:t xml:space="preserve"> г.</w:t>
            </w:r>
            <w:r/>
          </w:p>
        </w:tc>
      </w:tr>
      <w:tr>
        <w:tblPrEx/>
        <w:trPr>
          <w:trHeight w:val="2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X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Y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8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Сведения о состоянии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Merge w:val="continue"/>
            <w:textDirection w:val="lrTb"/>
            <w:noWrap w:val="false"/>
          </w:tcPr>
          <w:p>
            <w:pPr>
              <w:pStyle w:val="73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наружного знака пункта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центра пункта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марки</w:t>
            </w:r>
            <w:r>
              <w:t xml:space="preserve"> центра пункта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9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734"/>
            </w:pPr>
            <w:r>
              <w:t xml:space="preserve"> - </w:t>
            </w:r>
            <w:bookmarkStart w:id="1" w:name="_GoBack"/>
            <w:r/>
            <w:bookmarkEnd w:id="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0"/>
        <w:gridCol w:w="2967"/>
        <w:gridCol w:w="2852"/>
        <w:gridCol w:w="2913"/>
      </w:tblGrid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tabs>
                <w:tab w:val="left" w:pos="2565" w:leader="none"/>
                <w:tab w:val="center" w:pos="4559" w:leader="none"/>
              </w:tabs>
              <w:outlineLvl w:val="2"/>
            </w:pPr>
            <w:r/>
            <w:bookmarkStart w:id="0" w:name="Par70"/>
            <w:r/>
            <w:bookmarkEnd w:id="0"/>
            <w:r>
              <w:rPr>
                <w:b/>
                <w:bCs/>
                <w:shd w:val="clear" w:color="auto" w:fill="ffffff"/>
              </w:rPr>
              <w:t xml:space="preserve">2. Сведения об использованных средствах измерений: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N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7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rPr>
                <w:shd w:val="clear" w:color="auto" w:fill="ffffff"/>
              </w:rPr>
              <w:t xml:space="preserve">Наименование и обозначение типа средства измерений - прибора (инструмента, аппаратуры)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rPr>
                <w:shd w:val="clear" w:color="auto" w:fill="ffffff"/>
              </w:rPr>
              <w:t xml:space="preserve">Заводской или серийный номер средства измерений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3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rPr>
                <w:shd w:val="clear" w:color="auto" w:fill="ffffff"/>
              </w:rPr>
              <w:t xml:space="preserve">Реквизиты свидетельства о поверке прибора (инструмента, аппаратуры) и (или) срок действия поверки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7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2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3" w:type="dxa"/>
            <w:textDirection w:val="lrTb"/>
            <w:noWrap w:val="false"/>
          </w:tcPr>
          <w:p>
            <w:pPr>
              <w:pStyle w:val="734"/>
              <w:jc w:val="center"/>
            </w:pPr>
            <w:r>
              <w:t xml:space="preserve">4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</w:pPr>
            <w:r>
              <w:t xml:space="preserve"> - </w:t>
            </w:r>
            <w:bookmarkStart w:id="1" w:name="_GoBack"/>
            <w:r/>
            <w:bookmarkEnd w:id="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67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2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3" w:type="dxa"/>
            <w:textDirection w:val="lrTb"/>
            <w:noWrap w:val="false"/>
          </w:tcPr>
          <w:p>
            <w:pPr>
              <w:pStyle w:val="734"/>
            </w:pPr>
            <w:r/>
            <w:r/>
          </w:p>
          <w:p>
            <w:r>
              <w:t xml:space="preserve"> - </w:t>
            </w:r>
            <w:r/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Сведения об уточняемых земельных участках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58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3119 ± 19.55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√3119.48 = 19.55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119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21:14:090102:2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56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2612 ± 17.89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√2612.03 = 17.89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2500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112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21:14:090102:97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21:14:090102:3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21:14:090102:5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21:14:090102:5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21:14:090102:5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52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3940 ± 21.97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√3939.60 = 21.97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3900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40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21:14:090102:5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3065 ± 19.38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√3064.54 = 19.38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65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21:14:090102:67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21:14:090102:8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2714 ± 18.23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√2714.29 = 18.23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2700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14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21:14:090102:66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21:14:090102:9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3261 ± 19.99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√3261.46 = 19.99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261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21:14:090102:10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21:14:090102:11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21:14:090102:11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21:14:090102:11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4291 ± 22.93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√4291.26 = 22.93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4000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291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21:14:090102:11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21:14:090102:13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21:14:090102:13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38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3813 ± 21.61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√3813.18 = 21.61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4000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-187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21:14:090102:116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21:14:090102:13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21:14:090102:14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21:14:090102:14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21:14:090102:14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36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2998 ± 19.16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√2998.29 = 19.16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21:14:090102:14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21:14:090102:15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21:14:090102:15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21:14:090102:15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34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3059 ± 19.36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√3059.11 = 19.36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59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21:14:090102:93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21:14:090102:15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21:14:090102:18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21:14:090102:18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21:14:090102:18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28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2771 ± 18.42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√2770.66 = 18.42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2600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171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21:14:090102:76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21:14:090102:18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21:14:090102:19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21:14:090102:19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21:14:090102:19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26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2885 ± 18.80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√2885.15 = 18.80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2700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185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21:14:090102:75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21:14:090102:19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21:14:090102:23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21:14:090102:23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18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3920 ± 21.91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√3919.86 = 21.91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3700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21:14:090102:95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21:14:090102:23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21:14:090102:24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21:14:090102:24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21:14:090102:24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16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3859 ± 21.74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√3859.37 = 21.74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859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21:14:090102:111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21:14:090102:24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21:14:090102:26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21:14:090102:26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21:14:090102:26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3331 ± 20.20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√3331.30 = 20.20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331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21:14:090102:80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21:14:090102:26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21:14:090102:29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21:14:090102:29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21:14:090102:29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3011 ± 19.20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√3010.79 = 19.20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2600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411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21:14:090102:73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21:14:090102:29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21:14:090102:30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21:14:090102:30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2747 ± 18.34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√2746.62 = 18.34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2500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247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21:14:090102:30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21:14:090102:31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21:14:090102:31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21:14:090102:31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bookmarkStart w:id="1" w:name="_GoBack"/>
            <w:r/>
            <w:bookmarkEnd w:id="1"/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3996 ± 22.12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 </w:t>
            </w:r>
            <w:r>
              <w:rPr>
                <w:shd w:val="clear" w:color="auto" w:fill="ffffff"/>
              </w:rPr>
              <w:t xml:space="preserve">и итоговые (вычисленные) значения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√3995.72 = 22.12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3600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396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</w:t>
            </w:r>
            <w:r>
              <w:rPr>
                <w:lang w:eastAsia="en-US"/>
              </w:rPr>
              <w:t xml:space="preserve">или </w:t>
            </w:r>
            <w:r>
              <w:rPr>
                <w:lang w:eastAsia="en-US"/>
              </w:rPr>
              <w:t xml:space="preserve">иной государственный учетный номер (инвентарный)</w:t>
            </w:r>
            <w:r>
              <w:rPr>
                <w:lang w:eastAsia="en-US"/>
              </w:rPr>
              <w:t xml:space="preserve"> здания, сооружения, объекта незавершенного строительства,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21:14:090102:74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Земли общего пользования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21:14:090102:31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eastAsia="en-US"/>
              </w:rPr>
              <w:outlineLvl w:val="1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Сведения об уточняемых земельных участках</w:t>
            </w:r>
            <w:r>
              <w:rPr>
                <w:b/>
                <w:bCs/>
                <w:shd w:val="clear" w:color="auto" w:fill="ffffff"/>
              </w:rPr>
              <w:t xml:space="preserve">, необходимые для исправления реестровых ошибок в сведениях о местоположении их границ</w:t>
            </w:r>
            <w:r>
              <w:rPr>
                <w:b/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21:14:090102:4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21:14:090102:4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21:14:090102:4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54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3142 ± 19.62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√3142.29 = 19.62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3142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Кадастровый номер или иной государственный учетный номер (инвентарный) объекта недвижимости,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21:14:090102:239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21:14:090102:4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3229 ± 19.89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√3229.25 = 19.89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3246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-17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Кадастровый номер или иной государственный учетный номер (инвентарный) объекта недвижимости,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21:14:090102:101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880"/>
        <w:gridCol w:w="851"/>
        <w:gridCol w:w="850"/>
        <w:gridCol w:w="1134"/>
        <w:gridCol w:w="1985"/>
        <w:gridCol w:w="1445"/>
      </w:tblGrid>
      <w:tr>
        <w:tblPrEx/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границ уточняемого земельного участка 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21:14:090102:12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9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границ</w:t>
            </w:r>
            <w:r>
              <w:rPr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</w:t>
            </w:r>
            <w:r>
              <w:rPr>
                <w:lang w:eastAsia="en-US"/>
              </w:rPr>
              <w:t xml:space="preserve">квадратической</w:t>
            </w:r>
            <w:r>
              <w:rPr>
                <w:lang w:eastAsia="en-US"/>
              </w:rPr>
              <w:t xml:space="preserve">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5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</w:t>
            </w:r>
            <w:r>
              <w:rPr>
                <w:shd w:val="clear" w:color="auto" w:fill="ffffff"/>
              </w:rPr>
              <w:t xml:space="preserve">сание </w:t>
            </w:r>
            <w:r>
              <w:rPr>
                <w:shd w:val="clear" w:color="auto" w:fill="ffffff"/>
              </w:rPr>
              <w:t xml:space="preserve">зак</w:t>
            </w:r>
            <w:r>
              <w:br/>
            </w:r>
            <w:r>
              <w:rPr>
                <w:shd w:val="clear" w:color="auto" w:fill="ffffff"/>
              </w:rPr>
              <w:t xml:space="preserve">реп</w:t>
            </w:r>
            <w:r>
              <w:br/>
            </w:r>
            <w:r>
              <w:rPr>
                <w:shd w:val="clear" w:color="auto" w:fill="ffffff"/>
              </w:rPr>
              <w:t xml:space="preserve">ления</w:t>
            </w:r>
            <w:r>
              <w:rPr>
                <w:shd w:val="clear" w:color="auto" w:fill="ffffff"/>
              </w:rPr>
              <w:t xml:space="preserve">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90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45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2. Сведения о частях границ уточняемого земельного участка с кадастровым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21:14:090102:12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Горизонтальное </w:t>
            </w:r>
            <w:r>
              <w:rPr>
                <w:lang w:eastAsia="en-US"/>
              </w:rPr>
              <w:t xml:space="preserve">проложение</w:t>
            </w:r>
            <w:r>
              <w:rPr>
                <w:lang w:eastAsia="en-US"/>
              </w:rPr>
              <w:t xml:space="preserve"> (S), м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Описание прохождения части границ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согласовании местоположения границ (согласовано/спорное)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 т.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90"/>
        <w:gridCol w:w="907"/>
        <w:gridCol w:w="2326"/>
        <w:gridCol w:w="2439"/>
        <w:gridCol w:w="238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#ROW#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6352"/>
        <w:gridCol w:w="2380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3. Сведения о характеристиках уточняемого земельного участка с кадастровым номером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21:14:090102:12</w:t>
            </w:r>
            <w:r>
              <w:rPr>
                <w:lang w:eastAsia="en-US"/>
              </w:rPr>
              <w:t xml:space="preserve">: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земельного участка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Чувашская Республика - Чувашия, р-н Красноармейский, с/пос. Красноармейское, д. Васнары, ул. Шатьминская, дом 40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1.2.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</w:t>
            </w:r>
            <w:r>
              <w:t xml:space="preserve">±</w:t>
            </w:r>
            <w:r>
              <w:rPr>
                <w:lang w:eastAsia="en-US"/>
              </w:rPr>
              <w:t xml:space="preserve"> величина погрешности определения </w:t>
            </w:r>
            <w:r>
              <w:rPr>
                <w:lang w:eastAsia="en-US"/>
              </w:rPr>
              <w:t xml:space="preserve">(</w:t>
            </w:r>
            <w:r>
              <w:rPr>
                <w:lang w:eastAsia="en-US"/>
              </w:rPr>
              <w:t xml:space="preserve">вычисления) </w:t>
            </w:r>
            <w:r>
              <w:rPr>
                <w:lang w:eastAsia="en-US"/>
              </w:rPr>
              <w:t xml:space="preserve">площади (</w:t>
            </w:r>
            <w:r>
              <w:rPr>
                <w:lang w:val="en-US"/>
              </w:rPr>
              <w:t xml:space="preserve">P</w:t>
            </w:r>
            <w:r>
              <w:t xml:space="preserve"> ± 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3175 ± 19.72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Формула, примененная для вычисления предельной погрешности определения площади земельного участка, </w:t>
            </w:r>
            <w:r>
              <w:rPr>
                <w:shd w:val="clear" w:color="auto" w:fill="ffffff"/>
              </w:rPr>
              <w:t xml:space="preserve">с подставленными значениями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lang w:eastAsia="en-US"/>
              </w:rPr>
              <w:t xml:space="preserve">(</w:t>
            </w:r>
            <w:r>
              <w:rPr>
                <w:rFonts w:ascii="Symbol" w:hAnsi="Symbol" w:eastAsia="Symbol" w:cs="Symbol"/>
              </w:rPr>
              <w:t xml:space="preserve">D</w:t>
            </w:r>
            <w:r>
              <w:rPr>
                <w:lang w:val="en-US"/>
              </w:rPr>
              <w:t xml:space="preserve">P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ΔP = 3,5 * 0.10000  * √3174.85 = 19.72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Площадь земельного участка согласно сведениям Единого государственного реестра недвижимости (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3188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Оценка расхождения P и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 (P - </w:t>
            </w:r>
            <w:r>
              <w:rPr>
                <w:lang w:eastAsia="en-US"/>
              </w:rPr>
              <w:t xml:space="preserve">Pкад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-13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</w:t>
            </w:r>
            <w:r>
              <w:rPr>
                <w:lang w:eastAsia="en-US"/>
              </w:rPr>
              <w:t xml:space="preserve">е</w:t>
            </w:r>
            <w:r>
              <w:rPr>
                <w:lang w:eastAsia="en-US"/>
              </w:rPr>
              <w:t xml:space="preserve"> минимальный и максимальный размеры земельного участка (</w:t>
            </w:r>
            <w:r>
              <w:rPr>
                <w:lang w:eastAsia="en-US"/>
              </w:rPr>
              <w:t xml:space="preserve">Pмин</w:t>
            </w:r>
            <w:r>
              <w:rPr>
                <w:lang w:eastAsia="en-US"/>
              </w:rPr>
              <w:t xml:space="preserve"> и </w:t>
            </w:r>
            <w:r>
              <w:rPr>
                <w:lang w:eastAsia="en-US"/>
              </w:rPr>
              <w:t xml:space="preserve">Pма</w:t>
            </w:r>
            <w:bookmarkStart w:id="1" w:name="_GoBack"/>
            <w:r/>
            <w:bookmarkEnd w:id="1"/>
            <w:r>
              <w:rPr>
                <w:lang w:eastAsia="en-US"/>
              </w:rPr>
              <w:t xml:space="preserve">кс</w:t>
            </w:r>
            <w:r>
              <w:rPr>
                <w:lang w:eastAsia="en-US"/>
              </w:rPr>
              <w:t xml:space="preserve">), м</w:t>
            </w:r>
            <w:r>
              <w:rPr>
                <w:vertAlign w:val="superscript"/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/>
              </w:rPr>
            </w:pPr>
            <w:r>
              <w:t xml:space="preserve">200</w:t>
            </w:r>
            <w:r>
              <w:rPr>
                <w:lang w:val="en-US"/>
              </w:rPr>
            </w:r>
          </w:p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10000</w:t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Кадастровый номер или иной государственный учетный номер (инвентарный) объекта недвижимости, расположенного на земельном участке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21:14:090102:86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Вид (виды) разрешенного использования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  <w:t xml:space="preserve">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tabs>
                <w:tab w:val="left" w:pos="1245" w:leader="none"/>
              </w:tabs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Дополнительные сведения об использовании земельного участка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Для ведения личного подсобного хозяйства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земельных участках (землях общего пользования, территории общего пользования), посредством которых обеспечивается доступ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 - </w:t>
            </w:r>
            <w:r>
              <w:rPr>
                <w:lang w:eastAsia="en-US"/>
              </w:rPr>
            </w:r>
          </w:p>
        </w:tc>
      </w:tr>
    </w:tbl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4.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уточняемом </w:t>
            </w:r>
            <w:r>
              <w:rPr>
                <w:b/>
                <w:bCs/>
                <w:shd w:val="clear" w:color="auto" w:fill="ffffff"/>
              </w:rPr>
              <w:t xml:space="preserve">земельном участке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21:14:090102:12</w:t>
            </w:r>
            <w:bookmarkStart w:id="1" w:name="_GoBack"/>
            <w:r/>
            <w:bookmarkEnd w:id="1"/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rPr>
                <w:b/>
                <w:lang w:eastAsia="en-US"/>
              </w:rPr>
              <w:outlineLvl w:val="1"/>
            </w:pPr>
            <w:r/>
            <w:bookmarkStart w:id="0" w:name="_GoBack"/>
            <w:r>
              <w:rPr>
                <w:b/>
                <w:lang w:eastAsia="en-US"/>
              </w:rPr>
              <w:t xml:space="preserve">Описание местоположения здания, сооружения, объекта незавершенного строительства на земельном участке</w:t>
            </w:r>
            <w:bookmarkEnd w:id="0"/>
            <w:r>
              <w:rPr>
                <w:b/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21:14:090102:63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20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21:14:090102:63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21:14:090102:66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21:14:090102:66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46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21:14:090102:66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21:14:090102:67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21:14:090102:67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48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21:14:090102:67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21:14:090102:70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32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21:14:090102:70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21:14:090102:73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21:14:090102:73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21:14:090102:74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21:14:090102:74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21:14:090102:74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21:14:090102:75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21:14:090102:75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26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21:14:090102:75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21:14:090102:76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21:14:090102:76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28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21:14:090102:76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21:14:090102:78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21:14:090102:78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50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21:14:090102:78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21:14:090102:79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21:14:090102:79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10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21:14:090102:79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21:14:090102:80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12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21:14:090102:80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21:14:090102:86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21:14:090102:86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40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21:14:090102:86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21:14:090102:88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21:14:090102:88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60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21:14:090102:88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21:14:090102:90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22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21:14:090102:90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21:14:090102:93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21:14:090102:93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34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21:14:090102:93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21:14:090102:95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21:14:090102:95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18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21:14:090102:95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21:14:090102:97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21:14:090102:97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56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21:14:090102:97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21:14:090102:100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21:14:090102:100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36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21:14:090102:100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21:14:090102:101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21:14:090102:101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8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21:14:090102:101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21:14:090102:102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21:14:090102:102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Республика, р-н. Красноармейский, д. Васнары, ул. Шатьминская, д. 4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21:14:090102:102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7"/>
        <w:gridCol w:w="848"/>
        <w:gridCol w:w="853"/>
        <w:gridCol w:w="994"/>
        <w:gridCol w:w="711"/>
        <w:gridCol w:w="709"/>
        <w:gridCol w:w="992"/>
        <w:gridCol w:w="1417"/>
        <w:gridCol w:w="1871"/>
      </w:tblGrid>
      <w:tr>
        <w:tblPrEx/>
        <w:trPr/>
        <w:tc>
          <w:tcPr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End w:id="0"/>
            <w:r>
              <w:rPr>
                <w:b/>
                <w:lang w:eastAsia="en-US"/>
              </w:rPr>
              <w:t xml:space="preserve">1.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Сведения о характерных точках </w:t>
            </w:r>
            <w:r>
              <w:rPr>
                <w:b/>
                <w:lang w:eastAsia="en-US"/>
              </w:rPr>
              <w:t xml:space="preserve">контура объекта недвижимости </w:t>
            </w:r>
            <w:r>
              <w:rPr>
                <w:b/>
                <w:lang w:eastAsia="en-US"/>
              </w:rPr>
              <w:t xml:space="preserve">с кадастровым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21:14:090102:114</w:t>
            </w:r>
            <w:bookmarkStart w:id="1" w:name="_GoBack"/>
            <w:r/>
            <w:bookmarkEnd w:id="1"/>
            <w:r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b/>
                <w:lang w:eastAsia="en-US"/>
              </w:rPr>
              <w:outlineLvl w:val="2"/>
            </w:pP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Система координат </w:t>
            </w:r>
            <w:r>
              <w:rPr>
                <w:b/>
                <w:u w:val="single"/>
              </w:rPr>
              <w:t xml:space="preserve">МСК-21, зона 1</w:t>
            </w:r>
            <w:r>
              <w:rPr>
                <w:b/>
                <w:lang w:eastAsia="en-US"/>
              </w:rPr>
              <w:t xml:space="preserve">               </w:t>
            </w:r>
            <w:r>
              <w:rPr>
                <w:b/>
                <w:lang w:eastAsia="en-US"/>
              </w:rPr>
              <w:t xml:space="preserve">              </w:t>
            </w:r>
            <w:r>
              <w:rPr>
                <w:b/>
                <w:lang w:eastAsia="en-US"/>
              </w:rPr>
              <w:t xml:space="preserve">                                        </w:t>
            </w: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lang w:eastAsia="en-US"/>
              </w:rPr>
              <w:t xml:space="preserve">Зона N </w:t>
            </w:r>
            <w:r>
              <w:rPr>
                <w:u w:val="single"/>
              </w:rPr>
              <w:t xml:space="preserve">1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47" w:type="dxa"/>
            <w:vMerge w:val="restart"/>
            <w:textDirection w:val="lrTb"/>
            <w:noWrap w:val="false"/>
          </w:tcPr>
          <w:p>
            <w:pPr>
              <w:pStyle w:val="734"/>
              <w:ind w:left="-60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характерных точек контура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5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Содержатся в Едином государственном реестре недвижимости</w:t>
            </w:r>
            <w:r>
              <w:rPr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Определены в результате выполнения комплексных кадастровых работ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Метод определения координат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71" w:type="dxa"/>
            <w:vMerge w:val="restart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Формулы, примененные для расчета средней квадратической погрешности определения координат характерных точек (</w:t>
            </w:r>
            <w:r>
              <w:rPr>
                <w:lang w:eastAsia="en-US"/>
              </w:rPr>
              <w:t xml:space="preserve">M</w:t>
            </w:r>
            <w:r>
              <w:rPr>
                <w:vertAlign w:val="subscript"/>
                <w:lang w:eastAsia="en-US"/>
              </w:rPr>
              <w:t xml:space="preserve">t</w:t>
            </w:r>
            <w:r>
              <w:rPr>
                <w:lang w:eastAsia="en-US"/>
              </w:rPr>
              <w:t xml:space="preserve">), </w:t>
            </w:r>
            <w:r>
              <w:rPr>
                <w:lang w:eastAsia="en-US"/>
              </w:rPr>
              <w:t xml:space="preserve">с </w:t>
            </w:r>
            <w:r>
              <w:rPr>
                <w:shd w:val="clear" w:color="auto" w:fill="ffffff"/>
              </w:rPr>
              <w:t xml:space="preserve">подставленными в такие формулы значениями и итоговые (вычисленные) значения </w:t>
            </w:r>
            <w:r>
              <w:rPr>
                <w:shd w:val="clear" w:color="auto" w:fill="ffffff"/>
              </w:rPr>
              <w:t xml:space="preserve">Mt</w:t>
            </w:r>
            <w:r>
              <w:rPr>
                <w:shd w:val="clear" w:color="auto" w:fill="ffffff"/>
              </w:rPr>
              <w:t xml:space="preserve">, м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84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Радиус, м</w:t>
            </w:r>
            <w:r>
              <w:rPr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shd w:val="clear" w:color="auto" w:fill="ffffff"/>
              </w:rPr>
            </w:pPr>
            <w:r>
              <w:rPr>
                <w:lang w:eastAsia="en-US"/>
              </w:rPr>
              <w:t xml:space="preserve">Координаты, м</w:t>
            </w:r>
            <w:r>
              <w:rPr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Радиус, м</w:t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871" w:type="dxa"/>
            <w:vMerge w:val="continue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X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Y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3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8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1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9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1"/>
        <w:gridCol w:w="6448"/>
        <w:gridCol w:w="2283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pStyle w:val="734"/>
              <w:ind w:right="-62"/>
              <w:spacing w:line="256" w:lineRule="auto"/>
              <w:rPr>
                <w:b/>
                <w:lang w:eastAsia="en-US"/>
              </w:rPr>
              <w:outlineLvl w:val="2"/>
            </w:pPr>
            <w:r/>
            <w:bookmarkStart w:id="0" w:name="Par70"/>
            <w:r/>
            <w:bookmarkStart w:id="1" w:name="_GoBack"/>
            <w:r/>
            <w:bookmarkEnd w:id="0"/>
            <w:r>
              <w:rPr>
                <w:b/>
                <w:lang w:eastAsia="en-US"/>
              </w:rPr>
              <w:t xml:space="preserve">2. </w:t>
            </w:r>
            <w:r>
              <w:rPr>
                <w:b/>
                <w:lang w:eastAsia="en-US"/>
              </w:rPr>
              <w:t xml:space="preserve">Сведения о х</w:t>
            </w:r>
            <w:r>
              <w:rPr>
                <w:b/>
                <w:lang w:eastAsia="en-US"/>
              </w:rPr>
              <w:t xml:space="preserve">арактеристик</w:t>
            </w:r>
            <w:r>
              <w:rPr>
                <w:b/>
                <w:lang w:eastAsia="en-US"/>
              </w:rPr>
              <w:t xml:space="preserve">ах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объекта недвижимости</w:t>
            </w:r>
            <w:r>
              <w:rPr>
                <w:b/>
                <w:lang w:eastAsia="en-US"/>
              </w:rPr>
              <w:t xml:space="preserve"> с кад</w:t>
            </w:r>
            <w:r>
              <w:rPr>
                <w:b/>
                <w:lang w:eastAsia="en-US"/>
              </w:rPr>
              <w:t xml:space="preserve">астровым номером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 xml:space="preserve">21:14:090102:114</w:t>
            </w:r>
            <w:r>
              <w:rPr>
                <w:b/>
                <w:lang w:eastAsia="en-US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N п/п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характеристики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характеристики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 объекта недвижимости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Здание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Ранее присвоенный государственный учетный номер (инвентарный)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Кадастровый номер земельного участка (земельных участков), в границах которого (которых)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Уникальный учетный номер кадастрового квартала, в границах которого расположены здание, сооружение, объект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21:14:090102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Адрес здания, сооружения, объекта незавершенного строительства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hd w:val="clear" w:color="auto" w:fill="ffffff"/>
              </w:rPr>
              <w:t xml:space="preserve">Сведения о местоположении здания, сооружения, объекта незавершенного строительства (при отсутствии адреса) в структурированном в соответствии с федеральной информационной адресной системой виде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Чувашская Республика - Чувашия, Красноармейский р-н, д.Васнары, ул.Шатьминская, д.30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5.2.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Дополнительные сведения о местоположении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28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сведения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val="en-US"/>
              </w:rPr>
              <w:t xml:space="preserve"> - </w:t>
            </w:r>
            <w:bookmarkEnd w:id="1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8732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b/>
                <w:lang w:eastAsia="en-US"/>
              </w:rPr>
            </w:pPr>
            <w:r/>
            <w:bookmarkStart w:id="0" w:name="_GoBack"/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  <w:t xml:space="preserve">. </w:t>
            </w:r>
            <w:r>
              <w:rPr>
                <w:b/>
                <w:bCs/>
                <w:shd w:val="clear" w:color="auto" w:fill="ffffff"/>
              </w:rPr>
              <w:t xml:space="preserve">Пояснения к сведениям об </w:t>
            </w:r>
            <w:r>
              <w:rPr>
                <w:b/>
                <w:bCs/>
                <w:shd w:val="clear" w:color="auto" w:fill="ffffff"/>
              </w:rPr>
              <w:t xml:space="preserve">объекте недвижимости</w:t>
            </w:r>
            <w:r>
              <w:rPr>
                <w:b/>
                <w:bCs/>
                <w:shd w:val="clear" w:color="auto" w:fill="ffffff"/>
              </w:rPr>
              <w:t xml:space="preserve"> с кадастровым</w:t>
            </w:r>
            <w:r>
              <w:rPr>
                <w:b/>
                <w:bCs/>
                <w:shd w:val="clear" w:color="auto" w:fill="ffffff"/>
              </w:rPr>
              <w:t xml:space="preserve"> номером</w:t>
            </w:r>
            <w:r>
              <w:rPr>
                <w:b/>
                <w:shd w:val="clear" w:color="auto" w:fill="ffffff"/>
              </w:rPr>
              <w:t xml:space="preserve"> </w:t>
            </w:r>
            <w:r>
              <w:rPr>
                <w:b/>
                <w:u w:val="single"/>
                <w:shd w:val="clear" w:color="auto" w:fill="ffffff"/>
              </w:rPr>
              <w:t xml:space="preserve">21:14:090102:114</w:t>
            </w:r>
            <w:r>
              <w:rPr>
                <w:b/>
                <w:bCs/>
                <w:shd w:val="clear" w:color="auto" w:fill="ffffff"/>
              </w:rPr>
              <w:t xml:space="preserve">: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1.</w:t>
            </w:r>
            <w:r>
              <w:rPr>
                <w:b/>
                <w:lang w:val="en-US"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3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bookmarkEnd w:id="0"/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eastAsia="en-US"/>
              </w:rPr>
              <w:outlineLvl w:val="1"/>
            </w:pPr>
            <w:r>
              <w:rPr>
                <w:b/>
                <w:lang w:eastAsia="en-US"/>
              </w:rPr>
              <w:t xml:space="preserve">Схема границ земельных участков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#PICTURE#</w:t>
            </w:r>
            <w:bookmarkStart w:id="0" w:name="_GoBack"/>
            <w:r/>
            <w:bookmarkEnd w:id="0"/>
            <w:r/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Масштаб 1: _________________________________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Условные обозначения: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65"/>
        <w:gridCol w:w="7677"/>
      </w:tblGrid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89620" cy="123825"/>
                      <wp:effectExtent l="0" t="0" r="635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сущ_гр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1" cy="1269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0.05pt;height:9.75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существующая часть границы</w:t>
            </w:r>
            <w:r>
              <w:t xml:space="preserve"> земельного участка/объекта недвижимости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73057" cy="114300"/>
                      <wp:effectExtent l="0" t="0" r="381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образ__уточн_испр_гр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0" cy="1193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68.74pt;height:9.00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вновь образованная часть границы</w:t>
            </w:r>
            <w:r>
              <w:t xml:space="preserve"> земельного участка/объекта недвижимости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04324" cy="142875"/>
                      <wp:effectExtent l="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кварт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0" cy="144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71.21pt;height:11.25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</w:pPr>
            <w:r>
              <w:t xml:space="preserve">- граница кадастрового квартала</w:t>
            </w:r>
            <w:r/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" cy="240030"/>
                      <wp:effectExtent l="0" t="0" r="0" b="762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хар_т_уч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2286" cy="2439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8.00pt;height:18.90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обозначение характерной точки границы</w:t>
            </w:r>
            <w:r>
              <w:t xml:space="preserve"> земельного участка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" cy="178904"/>
                      <wp:effectExtent l="0" t="0" r="0" b="0"/>
                      <wp:docPr id="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хар_т_он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6220" cy="18486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8.00pt;height:14.09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обозначение характерной точки границы</w:t>
            </w:r>
            <w:r>
              <w:t xml:space="preserve"> объекта недвижимости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:123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кадастровый номер исходного, измененного или уточняемого земельного участка</w:t>
            </w:r>
            <w:r>
              <w:t xml:space="preserve">/объекта недвижимости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color w:val="ff0000"/>
              </w:rPr>
              <w:t xml:space="preserve">:123:ЗУ</w:t>
            </w:r>
            <w:r>
              <w:rPr>
                <w:color w:val="ff0000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обозначение образуемого путем раздела земельного участка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color w:val="ff0000"/>
              </w:rPr>
              <w:t xml:space="preserve">:ЗУ</w:t>
            </w:r>
            <w:r>
              <w:rPr>
                <w:color w:val="ff0000"/>
              </w:rPr>
              <w:t xml:space="preserve">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обозначение  земельного участка образуемого путем перераспределения, или в случае образования земельного участка из земель, находящихся в государственной или муниципальной собственности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:123/5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обозначение существующей части земельного участка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:123/чзу</w:t>
            </w:r>
            <w:r>
              <w:rPr>
                <w:rFonts w:ascii="Arial" w:hAnsi="Arial" w:cs="Arial"/>
                <w:color w:val="ff0000"/>
              </w:rPr>
              <w:t xml:space="preserve">1</w:t>
            </w:r>
            <w:r>
              <w:rPr>
                <w:rFonts w:ascii="Arial" w:hAnsi="Arial" w:cs="Arial"/>
                <w:color w:val="ff0000"/>
              </w:rPr>
            </w:r>
          </w:p>
          <w:p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:123/ЗУ</w:t>
            </w:r>
            <w:r>
              <w:rPr>
                <w:rFonts w:ascii="Arial" w:hAnsi="Arial" w:cs="Arial"/>
                <w:color w:val="ff0000"/>
              </w:rPr>
              <w:t xml:space="preserve">1</w:t>
            </w:r>
            <w:r>
              <w:rPr>
                <w:rFonts w:ascii="Arial" w:hAnsi="Arial" w:cs="Arial"/>
                <w:color w:val="ff0000"/>
              </w:rPr>
              <w:t xml:space="preserve">/чзу1</w:t>
            </w:r>
            <w:r>
              <w:rPr>
                <w:rFonts w:ascii="Arial" w:hAnsi="Arial" w:cs="Arial"/>
                <w:color w:val="ff0000"/>
              </w:rPr>
            </w:r>
          </w:p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color w:val="ff0000"/>
              </w:rPr>
              <w:t xml:space="preserve">:ЗУ</w:t>
            </w:r>
            <w:r>
              <w:rPr>
                <w:color w:val="ff0000"/>
              </w:rPr>
              <w:t xml:space="preserve">1</w:t>
            </w:r>
            <w:r>
              <w:rPr>
                <w:color w:val="ff0000"/>
              </w:rPr>
              <w:t xml:space="preserve">/чзу1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Style w:val="734"/>
              <w:spacing w:line="256" w:lineRule="auto"/>
            </w:pPr>
            <w:r>
              <w:t xml:space="preserve">- обозначение образуемой ча</w:t>
            </w:r>
            <w:bookmarkStart w:id="0" w:name="_GoBack"/>
            <w:r/>
            <w:bookmarkEnd w:id="0"/>
            <w:r>
              <w:t xml:space="preserve">сти земельного участка  </w:t>
            </w:r>
            <w:r/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2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b/>
                <w:lang w:eastAsia="en-US"/>
              </w:rPr>
              <w:outlineLvl w:val="1"/>
            </w:pPr>
            <w:r>
              <w:rPr>
                <w:b/>
              </w:rPr>
              <w:t xml:space="preserve">Схема геодезических построений</w:t>
            </w:r>
            <w:r>
              <w:rPr>
                <w:b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jc w:val="center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</w:r>
            <w:r>
              <w:rPr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Условные обозначения:</w:t>
            </w:r>
            <w:r>
              <w:rPr>
                <w:lang w:eastAsia="en-US"/>
              </w:rPr>
            </w:r>
          </w:p>
        </w:tc>
      </w:tr>
    </w:tbl>
    <w:tbl>
      <w:tblPr>
        <w:tblW w:w="9242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60"/>
        <w:gridCol w:w="768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0025" cy="180975"/>
                      <wp:effectExtent l="0" t="0" r="9525" b="9525"/>
                      <wp:docPr id="6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пункт_съем_обосн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1809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5.75pt;height:14.25pt;mso-wrap-distance-left:0.00pt;mso-wrap-distance-top:0.00pt;mso-wrap-distance-right:0.00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пункты съемочного обоснования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8125" cy="238125"/>
                      <wp:effectExtent l="0" t="0" r="9525" b="9525"/>
                      <wp:docPr id="7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баз_ст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8125" cy="2381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8.75pt;height:18.75pt;mso-wrap-distance-left:0.00pt;mso-wrap-distance-top:0.00pt;mso-wrap-distance-right:0.00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базовая станция при спутниковых наблюдениях (GPS или ГЛОНАС)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14400" cy="209550"/>
                      <wp:effectExtent l="0" t="0" r="0" b="0"/>
                      <wp:docPr id="8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направление_от_баз_ст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0" cy="20896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72.00pt;height:16.5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направление от базовой станции до объектов, положение которых определялось приемниками типа  GPS или ГЛОНАС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11860" cy="98425"/>
                      <wp:effectExtent l="0" t="0" r="2540" b="0"/>
                      <wp:docPr id="9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контур_зу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0" cy="98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71.80pt;height:7.75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rPr>
                <w:lang w:eastAsia="en-US"/>
              </w:rPr>
            </w:pPr>
            <w:r>
              <w:t xml:space="preserve">- контур земельного участка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11860" cy="113030"/>
                      <wp:effectExtent l="0" t="0" r="2540" b="1270"/>
                      <wp:docPr id="10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линия_виз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1860" cy="1130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71.80pt;height:8.90pt;mso-wrap-distance-left:0.00pt;mso-wrap-distance-top:0.00pt;mso-wrap-distance-right:0.00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линии визирования на измеряемые точки</w:t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0025" cy="213360"/>
                      <wp:effectExtent l="0" t="0" r="9525" b="0"/>
                      <wp:docPr id="11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измер_т.bmp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133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15.75pt;height:16.80pt;mso-wrap-distance-left:0.00pt;mso-wrap-distance-top:0.00pt;mso-wrap-distance-right:0.00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bookmarkStart w:id="0" w:name="_GoBack"/>
            <w:r/>
            <w:bookmarkEnd w:id="0"/>
            <w:r/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2" w:type="dxa"/>
            <w:textDirection w:val="lrTb"/>
            <w:noWrap w:val="false"/>
          </w:tcPr>
          <w:p>
            <w:pPr>
              <w:pStyle w:val="734"/>
              <w:spacing w:line="256" w:lineRule="auto"/>
              <w:rPr>
                <w:lang w:eastAsia="en-US"/>
              </w:rPr>
            </w:pPr>
            <w:r>
              <w:t xml:space="preserve">- измеряемые точки</w:t>
            </w:r>
            <w:r>
              <w:rPr>
                <w:lang w:eastAsia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continuous"/>
          <w:pgSz w:w="11906" w:h="16838" w:orient="portrait"/>
          <w:pgMar w:top="851" w:right="567" w:bottom="851" w:left="1531" w:header="709" w:footer="709" w:gutter="0"/>
          <w:cols w:num="1" w:sep="0" w:space="720" w:equalWidth="1"/>
          <w:docGrid w:linePitch="360"/>
        </w:sectPr>
      </w:pPr>
      <w:r/>
      <w:r/>
    </w:p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614240" cy="6064969"/>
                <wp:effectExtent l="0" t="0" r="0" b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073917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 flipH="0" flipV="0">
                          <a:off x="0" y="0"/>
                          <a:ext cx="9614239" cy="6064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57.03pt;height:477.56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</w:p>
    <w:sectPr>
      <w:footnotePr/>
      <w:endnotePr/>
      <w:type w:val="nextPage"/>
      <w:pgSz w:w="16838" w:h="11906" w:orient="landscape"/>
      <w:pgMar w:top="1531" w:right="851" w:bottom="567" w:left="851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3"/>
    <w:link w:val="72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3"/>
    <w:link w:val="7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3"/>
    <w:link w:val="722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9"/>
    <w:next w:val="7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9"/>
    <w:next w:val="7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9"/>
    <w:next w:val="7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9"/>
    <w:next w:val="7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9"/>
    <w:next w:val="7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9"/>
    <w:next w:val="7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23"/>
    <w:link w:val="726"/>
    <w:uiPriority w:val="10"/>
    <w:rPr>
      <w:sz w:val="48"/>
      <w:szCs w:val="48"/>
    </w:rPr>
  </w:style>
  <w:style w:type="character" w:styleId="37">
    <w:name w:val="Subtitle Char"/>
    <w:basedOn w:val="723"/>
    <w:link w:val="727"/>
    <w:uiPriority w:val="11"/>
    <w:rPr>
      <w:sz w:val="24"/>
      <w:szCs w:val="24"/>
    </w:rPr>
  </w:style>
  <w:style w:type="paragraph" w:styleId="38">
    <w:name w:val="Quote"/>
    <w:basedOn w:val="719"/>
    <w:next w:val="7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9"/>
    <w:next w:val="7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3"/>
    <w:link w:val="730"/>
    <w:uiPriority w:val="99"/>
  </w:style>
  <w:style w:type="character" w:styleId="45">
    <w:name w:val="Footer Char"/>
    <w:basedOn w:val="723"/>
    <w:link w:val="731"/>
    <w:uiPriority w:val="99"/>
  </w:style>
  <w:style w:type="paragraph" w:styleId="46">
    <w:name w:val="Caption"/>
    <w:basedOn w:val="719"/>
    <w:next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31"/>
    <w:uiPriority w:val="99"/>
  </w:style>
  <w:style w:type="table" w:styleId="49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3"/>
    <w:uiPriority w:val="99"/>
    <w:unhideWhenUsed/>
    <w:rPr>
      <w:vertAlign w:val="superscript"/>
    </w:rPr>
  </w:style>
  <w:style w:type="paragraph" w:styleId="178">
    <w:name w:val="endnote text"/>
    <w:basedOn w:val="7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3"/>
    <w:uiPriority w:val="99"/>
    <w:semiHidden/>
    <w:unhideWhenUsed/>
    <w:rPr>
      <w:vertAlign w:val="superscript"/>
    </w:rPr>
  </w:style>
  <w:style w:type="paragraph" w:styleId="181">
    <w:name w:val="toc 1"/>
    <w:basedOn w:val="719"/>
    <w:next w:val="7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9"/>
    <w:next w:val="7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9"/>
    <w:next w:val="7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9"/>
    <w:next w:val="7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9"/>
    <w:next w:val="7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9"/>
    <w:next w:val="7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9"/>
    <w:next w:val="7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9"/>
    <w:next w:val="7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9"/>
    <w:next w:val="7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9"/>
    <w:next w:val="719"/>
    <w:uiPriority w:val="99"/>
    <w:unhideWhenUsed/>
    <w:pPr>
      <w:spacing w:after="0" w:afterAutospacing="0"/>
    </w:pPr>
  </w:style>
  <w:style w:type="paragraph" w:styleId="719" w:default="1">
    <w:name w:val="Normal"/>
    <w:qFormat/>
  </w:style>
  <w:style w:type="paragraph" w:styleId="720">
    <w:name w:val="Heading 1"/>
    <w:basedOn w:val="719"/>
    <w:next w:val="719"/>
    <w:qFormat/>
    <w:pPr>
      <w:jc w:val="center"/>
      <w:keepNext/>
      <w:outlineLvl w:val="0"/>
    </w:pPr>
    <w:rPr>
      <w:caps/>
      <w:sz w:val="28"/>
    </w:rPr>
  </w:style>
  <w:style w:type="paragraph" w:styleId="721">
    <w:name w:val="Heading 2"/>
    <w:basedOn w:val="719"/>
    <w:next w:val="719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22">
    <w:name w:val="Heading 3"/>
    <w:basedOn w:val="719"/>
    <w:next w:val="719"/>
    <w:qFormat/>
    <w:pPr>
      <w:jc w:val="center"/>
      <w:keepNext/>
      <w:outlineLvl w:val="2"/>
    </w:pPr>
    <w:rPr>
      <w:b/>
      <w:sz w:val="28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paragraph" w:styleId="726">
    <w:name w:val="Title"/>
    <w:basedOn w:val="719"/>
    <w:qFormat/>
    <w:pPr>
      <w:jc w:val="center"/>
    </w:pPr>
    <w:rPr>
      <w:b/>
      <w:sz w:val="24"/>
    </w:rPr>
  </w:style>
  <w:style w:type="paragraph" w:styleId="727">
    <w:name w:val="Subtitle"/>
    <w:basedOn w:val="719"/>
    <w:qFormat/>
    <w:pPr>
      <w:jc w:val="center"/>
    </w:pPr>
    <w:rPr>
      <w:caps/>
      <w:sz w:val="24"/>
    </w:rPr>
  </w:style>
  <w:style w:type="paragraph" w:styleId="728" w:customStyle="1">
    <w:name w:val="Обычный1"/>
    <w:rPr>
      <w:sz w:val="24"/>
    </w:rPr>
  </w:style>
  <w:style w:type="table" w:styleId="729">
    <w:name w:val="Table Grid"/>
    <w:basedOn w:val="724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30">
    <w:name w:val="Header"/>
    <w:basedOn w:val="719"/>
    <w:pPr>
      <w:tabs>
        <w:tab w:val="center" w:pos="4677" w:leader="none"/>
        <w:tab w:val="right" w:pos="9355" w:leader="none"/>
      </w:tabs>
    </w:pPr>
  </w:style>
  <w:style w:type="paragraph" w:styleId="731">
    <w:name w:val="Footer"/>
    <w:basedOn w:val="719"/>
    <w:pPr>
      <w:tabs>
        <w:tab w:val="center" w:pos="4677" w:leader="none"/>
        <w:tab w:val="right" w:pos="9355" w:leader="none"/>
      </w:tabs>
    </w:pPr>
  </w:style>
  <w:style w:type="character" w:styleId="732">
    <w:name w:val="page number"/>
    <w:basedOn w:val="723"/>
  </w:style>
  <w:style w:type="paragraph" w:styleId="733" w:customStyle="1">
    <w:name w:val="Обычный1"/>
    <w:rPr>
      <w:sz w:val="24"/>
    </w:rPr>
  </w:style>
  <w:style w:type="paragraph" w:styleId="734" w:customStyle="1">
    <w:name w:val="ConsPlusNormal"/>
    <w:pPr>
      <w:widowControl w:val="off"/>
    </w:pPr>
    <w:rPr>
      <w:rFonts w:ascii="Arial" w:hAnsi="Arial" w:cs="Arial"/>
    </w:rPr>
  </w:style>
  <w:style w:type="paragraph" w:styleId="735" w:customStyle="1">
    <w:name w:val="formattext"/>
    <w:basedOn w:val="719"/>
    <w:pPr>
      <w:spacing w:before="100" w:beforeAutospacing="1" w:after="100" w:afterAutospacing="1"/>
    </w:pPr>
    <w:rPr>
      <w:sz w:val="24"/>
      <w:szCs w:val="24"/>
    </w:rPr>
  </w:style>
  <w:style w:type="paragraph" w:styleId="736" w:customStyle="1">
    <w:name w:val="Обычный2"/>
    <w:rPr>
      <w:sz w:val="24"/>
    </w:rPr>
  </w:style>
  <w:style w:type="paragraph" w:styleId="737" w:customStyle="1">
    <w:name w:val="ConsPlusTitle"/>
    <w:uiPriority w:val="99"/>
    <w:pPr>
      <w:widowControl w:val="off"/>
    </w:pPr>
    <w:rPr>
      <w:rFonts w:ascii="Arial" w:hAnsi="Arial" w:cs="Arial"/>
      <w:b/>
      <w:bCs/>
      <w:sz w:val="16"/>
      <w:szCs w:val="16"/>
    </w:rPr>
  </w:style>
  <w:style w:type="table" w:styleId="740">
    <w:name w:val="Table Web 1"/>
    <w:basedOn w:val="724"/>
    <w:pPr>
      <w:spacing w:after="160" w:line="256" w:lineRule="auto"/>
    </w:p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741" w:customStyle="1">
    <w:name w:val="марк основ"/>
    <w:basedOn w:val="719"/>
    <w:pPr>
      <w:ind w:firstLine="284"/>
      <w:jc w:val="both"/>
      <w:spacing w:before="120" w:after="120"/>
    </w:pPr>
    <w:rPr>
      <w:rFonts w:ascii="Arial" w:hAnsi="Arial"/>
      <w:b/>
      <w:sz w:val="24"/>
    </w:rPr>
  </w:style>
  <w:style w:type="paragraph" w:styleId="742">
    <w:name w:val="Balloon Text"/>
    <w:basedOn w:val="719"/>
    <w:link w:val="743"/>
    <w:rPr>
      <w:rFonts w:ascii="Tahoma" w:hAnsi="Tahoma" w:cs="Tahoma"/>
      <w:sz w:val="16"/>
      <w:szCs w:val="16"/>
    </w:rPr>
  </w:style>
  <w:style w:type="character" w:styleId="743" w:customStyle="1">
    <w:name w:val="Текст выноски Знак"/>
    <w:basedOn w:val="723"/>
    <w:link w:val="74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57A10-4DFF-4573-B9C1-A0DACBA5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kpt_title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mio4-3</cp:lastModifiedBy>
  <cp:revision>2</cp:revision>
  <dcterms:created xsi:type="dcterms:W3CDTF">2023-04-17T05:46:00Z</dcterms:created>
  <dcterms:modified xsi:type="dcterms:W3CDTF">2025-06-10T13:02:54Z</dcterms:modified>
</cp:coreProperties>
</file>